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iCs/>
          <w:u w:val="single"/>
        </w:rPr>
      </w:pPr>
      <w:r>
        <w:rPr>
          <w:b/>
          <w:iCs/>
          <w:u w:val="single"/>
        </w:rPr>
        <w:t>IceCube Institutional Memorandum Of Understanding (MOU)</w:t>
      </w:r>
    </w:p>
    <w:p>
      <w:pPr>
        <w:pStyle w:val="Normal"/>
        <w:jc w:val="center"/>
        <w:rPr>
          <w:b/>
          <w:b/>
          <w:iCs/>
          <w:u w:val="single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36FD5AAE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8535" cy="686435"/>
                <wp:effectExtent l="0" t="5080" r="15875" b="7620"/>
                <wp:wrapSquare wrapText="bothSides"/>
                <wp:docPr id="1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0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ind w:left="1440" w:hanging="0"/>
                              <w:rPr>
                                <w:b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Massachusetts Institute of Technology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Janet M. Conrad</w:t>
                            </w:r>
                          </w:p>
                          <w:p>
                            <w:pPr>
                              <w:pStyle w:val="FrameContents"/>
                              <w:spacing w:before="0" w:after="12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Ph.D Scientists</w:t>
                            </w:r>
                            <w:r>
                              <w:rPr/>
                              <w:t xml:space="preserve"> (Faculty   Scientist/Post Doc   Grads):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2 </w:t>
                            </w:r>
                            <w:r>
                              <w:rPr/>
                              <w:t>(1  1  3)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fillcolor="white" stroked="t" style="position:absolute;margin-left:-14.25pt;margin-top:25.6pt;width:476.95pt;height:53.95pt" wp14:anchorId="36FD5AA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ind w:left="1440" w:hanging="0"/>
                        <w:rPr>
                          <w:b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    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Massachusetts Institute of Technology</w:t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Janet M. Conrad</w:t>
                      </w:r>
                    </w:p>
                    <w:p>
                      <w:pPr>
                        <w:pStyle w:val="FrameContents"/>
                        <w:spacing w:before="0" w:after="120"/>
                        <w:jc w:val="center"/>
                        <w:rPr/>
                      </w:pPr>
                      <w:r>
                        <w:rPr>
                          <w:b/>
                          <w:bCs/>
                        </w:rPr>
                        <w:t>Ph.D Scientists</w:t>
                      </w:r>
                      <w:r>
                        <w:rPr/>
                        <w:t xml:space="preserve"> (Faculty   Scientist/Post Doc   Grads):</w:t>
                      </w:r>
                      <w:r>
                        <w:rPr>
                          <w:b/>
                          <w:bCs/>
                        </w:rPr>
                        <w:t xml:space="preserve"> 2 </w:t>
                      </w:r>
                      <w:r>
                        <w:rPr/>
                        <w:t>(1  1  3)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Cs/>
          <w:u w:val="single"/>
        </w:rPr>
        <w:t>Scope of Work</w:t>
      </w:r>
    </w:p>
    <w:p>
      <w:pPr>
        <w:pStyle w:val="Footnote"/>
        <w:rPr>
          <w:sz w:val="22"/>
        </w:rPr>
      </w:pPr>
      <w:r>
        <w:rPr>
          <w:sz w:val="22"/>
        </w:rPr>
        <w:t xml:space="preserve"> </w:t>
      </w:r>
    </w:p>
    <w:tbl>
      <w:tblPr>
        <w:tblW w:w="10468" w:type="dxa"/>
        <w:jc w:val="left"/>
        <w:tblInd w:w="-252" w:type="dxa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685"/>
        <w:gridCol w:w="967"/>
        <w:gridCol w:w="1773"/>
        <w:gridCol w:w="1"/>
        <w:gridCol w:w="2520"/>
        <w:gridCol w:w="1"/>
        <w:gridCol w:w="1"/>
        <w:gridCol w:w="606"/>
        <w:gridCol w:w="1"/>
        <w:gridCol w:w="1"/>
        <w:gridCol w:w="689"/>
        <w:gridCol w:w="1"/>
        <w:gridCol w:w="2"/>
        <w:gridCol w:w="605"/>
        <w:gridCol w:w="1"/>
        <w:gridCol w:w="1"/>
        <w:gridCol w:w="653"/>
        <w:gridCol w:w="1"/>
        <w:gridCol w:w="1"/>
        <w:gridCol w:w="673"/>
        <w:gridCol w:w="1"/>
        <w:gridCol w:w="1"/>
        <w:gridCol w:w="561"/>
        <w:gridCol w:w="1"/>
        <w:gridCol w:w="1"/>
        <w:gridCol w:w="718"/>
      </w:tblGrid>
      <w:tr>
        <w:trPr>
          <w:trHeight w:val="480" w:hRule="atLeast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5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6"/>
                <w:szCs w:val="16"/>
                <w:lang w:eastAsia="en-US" w:bidi="he-IL"/>
              </w:rPr>
              <w:t>WBS 2.6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>
        <w:trPr>
          <w:trHeight w:val="1485" w:hRule="atLeast"/>
        </w:trPr>
        <w:tc>
          <w:tcPr>
            <w:tcW w:w="6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</w:r>
          </w:p>
        </w:tc>
        <w:tc>
          <w:tcPr>
            <w:tcW w:w="9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</w:r>
          </w:p>
        </w:tc>
        <w:tc>
          <w:tcPr>
            <w:tcW w:w="1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</w:r>
          </w:p>
        </w:tc>
        <w:tc>
          <w:tcPr>
            <w:tcW w:w="252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D9D9D9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>Program Coordination</w:t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>Detector Maintenance &amp; Operations</w:t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 xml:space="preserve">Computing &amp; Data Management </w:t>
            </w:r>
          </w:p>
        </w:tc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 xml:space="preserve">Data Processing &amp; Simulation </w:t>
            </w: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>Software</w:t>
            </w:r>
          </w:p>
        </w:tc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>Calibration</w:t>
            </w:r>
          </w:p>
        </w:tc>
        <w:tc>
          <w:tcPr>
            <w:tcW w:w="72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</w:r>
          </w:p>
        </w:tc>
      </w:tr>
      <w:tr>
        <w:trPr>
          <w:trHeight w:val="440" w:hRule="atLeast"/>
        </w:trPr>
        <w:tc>
          <w:tcPr>
            <w:tcW w:w="685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67" w:type="dxa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Janet M. Conrad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/>
            </w:pPr>
            <w:r>
              <w:rPr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lang w:eastAsia="en-US" w:bidi="he-IL"/>
              </w:rPr>
              <w:t>ICB member</w:t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>
              <w:rPr>
                <w:color w:val="00000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>
        <w:trPr>
          <w:trHeight w:val="440" w:hRule="atLeast"/>
        </w:trPr>
        <w:tc>
          <w:tcPr>
            <w:tcW w:w="685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</w:r>
          </w:p>
        </w:tc>
        <w:tc>
          <w:tcPr>
            <w:tcW w:w="967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/>
            </w:pPr>
            <w:r>
              <w:rPr>
                <w:sz w:val="18"/>
                <w:szCs w:val="18"/>
                <w:lang w:eastAsia="en-US" w:bidi="he-IL"/>
              </w:rPr>
              <w:t>Outreach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lang w:eastAsia="en-US" w:bidi="he-IL"/>
              </w:rPr>
              <w:t>CosmicWatch</w:t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>
              <w:rPr>
                <w:color w:val="00000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>
        <w:trPr>
          <w:trHeight w:val="251" w:hRule="atLeast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color="auto" w:fill="CCFFCC" w:val="clear"/>
          </w:tcPr>
          <w:p>
            <w:pPr>
              <w:pStyle w:val="Normal"/>
              <w:suppressAutoHyphens w:val="false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Janet M. Conrad Total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Normal"/>
              <w:suppressAutoHyphens w:val="false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color="auto" w:fill="CCFFCC" w:val="clear"/>
          </w:tcPr>
          <w:p>
            <w:pPr>
              <w:pStyle w:val="Normal"/>
              <w:suppressAutoHyphens w:val="false"/>
              <w:jc w:val="right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CCFFCC" w:val="clear"/>
          </w:tcPr>
          <w:p>
            <w:pPr>
              <w:pStyle w:val="Normal"/>
              <w:suppressAutoHyphens w:val="false"/>
              <w:jc w:val="right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CCFFCC" w:val="clear"/>
          </w:tcPr>
          <w:p>
            <w:pPr>
              <w:pStyle w:val="Normal"/>
              <w:suppressAutoHyphens w:val="false"/>
              <w:jc w:val="right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</w:r>
          </w:p>
        </w:tc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CCFFCC" w:val="clear"/>
          </w:tcPr>
          <w:p>
            <w:pPr>
              <w:pStyle w:val="Normal"/>
              <w:suppressAutoHyphens w:val="false"/>
              <w:jc w:val="right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</w: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CCFFCC" w:val="clear"/>
          </w:tcPr>
          <w:p>
            <w:pPr>
              <w:pStyle w:val="Normal"/>
              <w:suppressAutoHyphens w:val="false"/>
              <w:jc w:val="right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</w:r>
          </w:p>
        </w:tc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color="auto" w:fill="CCFFCC" w:val="clear"/>
          </w:tcPr>
          <w:p>
            <w:pPr>
              <w:pStyle w:val="Normal"/>
              <w:suppressAutoHyphens w:val="false"/>
              <w:jc w:val="right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CFFCC" w:val="clear"/>
          </w:tcPr>
          <w:p>
            <w:pPr>
              <w:pStyle w:val="Normal"/>
              <w:suppressAutoHyphens w:val="false"/>
              <w:jc w:val="right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>
        <w:trPr>
          <w:trHeight w:val="683" w:hRule="atLeast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967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Carlos Argüelles Delgado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sz w:val="18"/>
                <w:szCs w:val="18"/>
                <w:lang w:eastAsia="en-US" w:bidi="he-IL"/>
              </w:rPr>
              <w:t>nuSQuIDS, LeptonInjector/LeptonWeighte</w:t>
            </w:r>
            <w:r>
              <w:rPr>
                <w:sz w:val="18"/>
                <w:szCs w:val="18"/>
                <w:lang w:eastAsia="en-US" w:bidi="he-IL"/>
              </w:rPr>
              <w:t>r</w:t>
            </w:r>
            <w:r>
              <w:rPr>
                <w:sz w:val="18"/>
                <w:szCs w:val="18"/>
                <w:lang w:eastAsia="en-US" w:bidi="he-IL"/>
              </w:rPr>
              <w:t>, and MC reweighting development. Fitter tools: GolemFit.</w:t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0.30</w:t>
            </w:r>
          </w:p>
        </w:tc>
      </w:tr>
      <w:tr>
        <w:trPr>
          <w:trHeight w:val="440" w:hRule="atLeast"/>
        </w:trPr>
        <w:tc>
          <w:tcPr>
            <w:tcW w:w="685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</w:r>
          </w:p>
        </w:tc>
        <w:tc>
          <w:tcPr>
            <w:tcW w:w="96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 w:bidi="he-IL"/>
              </w:rPr>
              <w:t>BSM Technical coordinator</w:t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jc w:val="right"/>
              <w:rPr/>
            </w:pPr>
            <w:r>
              <w:rPr>
                <w:sz w:val="18"/>
                <w:szCs w:val="18"/>
                <w:lang w:eastAsia="en-US" w:bidi="he-IL"/>
              </w:rPr>
              <w:t>0.</w:t>
            </w:r>
            <w:r>
              <w:rPr>
                <w:sz w:val="18"/>
                <w:szCs w:val="18"/>
                <w:lang w:eastAsia="en-US" w:bidi="he-IL"/>
              </w:rPr>
              <w:t>30</w:t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sz w:val="18"/>
                <w:szCs w:val="18"/>
                <w:lang w:eastAsia="en-US" w:bidi="he-IL"/>
              </w:rPr>
              <w:t>0.</w:t>
            </w:r>
            <w:r>
              <w:rPr>
                <w:sz w:val="18"/>
                <w:szCs w:val="18"/>
                <w:lang w:eastAsia="en-US" w:bidi="he-IL"/>
              </w:rPr>
              <w:t>30</w:t>
            </w:r>
          </w:p>
        </w:tc>
      </w:tr>
      <w:tr>
        <w:trPr>
          <w:trHeight w:val="269" w:hRule="atLeast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</w:r>
          </w:p>
        </w:tc>
        <w:tc>
          <w:tcPr>
            <w:tcW w:w="2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color="auto" w:fill="CCFFCC" w:val="clear"/>
          </w:tcPr>
          <w:p>
            <w:pPr>
              <w:pStyle w:val="Normal"/>
              <w:suppressAutoHyphens w:val="false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Carlos Arguelles Total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Normal"/>
              <w:suppressAutoHyphens w:val="false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color="auto" w:fill="CCFFCC" w:val="clear"/>
          </w:tcPr>
          <w:p>
            <w:pPr>
              <w:pStyle w:val="Normal"/>
              <w:suppressAutoHyphens w:val="false"/>
              <w:jc w:val="right"/>
              <w:rPr/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CCFFCC" w:val="clear"/>
          </w:tcPr>
          <w:p>
            <w:pPr>
              <w:pStyle w:val="Normal"/>
              <w:suppressAutoHyphens w:val="false"/>
              <w:jc w:val="right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CCFFCC" w:val="clear"/>
          </w:tcPr>
          <w:p>
            <w:pPr>
              <w:pStyle w:val="Normal"/>
              <w:suppressAutoHyphens w:val="false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CCFFCC" w:val="clear"/>
          </w:tcPr>
          <w:p>
            <w:pPr>
              <w:pStyle w:val="Normal"/>
              <w:suppressAutoHyphens w:val="false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CCFFCC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2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color="auto" w:fill="CCFFCC" w:val="clear"/>
          </w:tcPr>
          <w:p>
            <w:pPr>
              <w:pStyle w:val="Normal"/>
              <w:suppressAutoHyphens w:val="false"/>
              <w:jc w:val="right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CFFCC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0.4</w:t>
            </w:r>
          </w:p>
        </w:tc>
      </w:tr>
      <w:tr>
        <w:trPr>
          <w:trHeight w:val="287" w:hRule="atLeast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96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Spencer Axani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Pass 2 and calibration work</w:t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</w:r>
          </w:p>
        </w:tc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</w: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rPr/>
            </w:pPr>
            <w:r>
              <w:rPr>
                <w:sz w:val="18"/>
                <w:szCs w:val="18"/>
                <w:lang w:eastAsia="en-US" w:bidi="he-IL"/>
              </w:rPr>
              <w:t xml:space="preserve">  </w:t>
            </w:r>
            <w:r>
              <w:rPr>
                <w:sz w:val="18"/>
                <w:szCs w:val="18"/>
                <w:lang w:eastAsia="en-US" w:bidi="he-IL"/>
              </w:rPr>
              <w:t>0.</w:t>
            </w:r>
            <w:r>
              <w:rPr>
                <w:sz w:val="18"/>
                <w:szCs w:val="18"/>
                <w:lang w:eastAsia="en-US" w:bidi="he-IL"/>
              </w:rPr>
              <w:t>5</w:t>
            </w:r>
            <w:r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right"/>
              <w:rPr/>
            </w:pPr>
            <w:r>
              <w:rPr>
                <w:sz w:val="18"/>
                <w:szCs w:val="18"/>
                <w:lang w:eastAsia="en-US" w:bidi="he-IL"/>
              </w:rPr>
              <w:t>0.</w:t>
            </w:r>
            <w:r>
              <w:rPr>
                <w:sz w:val="18"/>
                <w:szCs w:val="18"/>
                <w:lang w:eastAsia="en-US" w:bidi="he-IL"/>
              </w:rPr>
              <w:t>5</w:t>
            </w:r>
            <w:r>
              <w:rPr>
                <w:sz w:val="18"/>
                <w:szCs w:val="18"/>
                <w:lang w:eastAsia="en-US" w:bidi="he-IL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685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</w:r>
          </w:p>
        </w:tc>
        <w:tc>
          <w:tcPr>
            <w:tcW w:w="96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Outreach &amp; Outreach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Desktop muon counters</w:t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</w:r>
          </w:p>
        </w:tc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</w: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</w:r>
          </w:p>
        </w:tc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right"/>
              <w:rPr/>
            </w:pPr>
            <w:r>
              <w:rPr>
                <w:sz w:val="18"/>
                <w:szCs w:val="18"/>
                <w:lang w:eastAsia="en-US" w:bidi="he-IL"/>
              </w:rPr>
              <w:t>0.</w:t>
            </w:r>
            <w:r>
              <w:rPr>
                <w:sz w:val="18"/>
                <w:szCs w:val="18"/>
                <w:lang w:eastAsia="en-US" w:bidi="he-IL"/>
              </w:rPr>
              <w:t>5</w:t>
            </w:r>
            <w:r>
              <w:rPr>
                <w:sz w:val="18"/>
                <w:szCs w:val="18"/>
                <w:lang w:eastAsia="en-US" w:bidi="he-IL"/>
              </w:rPr>
              <w:t>0</w:t>
            </w:r>
          </w:p>
        </w:tc>
      </w:tr>
      <w:tr>
        <w:trPr>
          <w:trHeight w:val="269" w:hRule="atLeast"/>
        </w:trPr>
        <w:tc>
          <w:tcPr>
            <w:tcW w:w="685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</w:r>
          </w:p>
        </w:tc>
        <w:tc>
          <w:tcPr>
            <w:tcW w:w="2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color="auto" w:fill="CCFFCC" w:val="clear"/>
          </w:tcPr>
          <w:p>
            <w:pPr>
              <w:pStyle w:val="Normal"/>
              <w:suppressAutoHyphens w:val="false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Spencer Axani Total 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Normal"/>
              <w:suppressAutoHyphens w:val="false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color="auto" w:fill="CCFFCC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3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CCFFCC" w:val="clea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CCFFCC" w:val="clear"/>
          </w:tcPr>
          <w:p>
            <w:pPr>
              <w:pStyle w:val="Normal"/>
              <w:suppressAutoHyphens w:val="false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CCFFCC" w:val="clear"/>
          </w:tcPr>
          <w:p>
            <w:pPr>
              <w:pStyle w:val="Normal"/>
              <w:suppressAutoHyphens w:val="false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</w: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CCFFCC" w:val="clear"/>
          </w:tcPr>
          <w:p>
            <w:pPr>
              <w:pStyle w:val="Normal"/>
              <w:suppressAutoHyphens w:val="false"/>
              <w:rPr/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   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4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color="auto" w:fill="CCFFCC" w:val="clear"/>
          </w:tcPr>
          <w:p>
            <w:pPr>
              <w:pStyle w:val="Normal"/>
              <w:suppressAutoHyphens w:val="false"/>
              <w:jc w:val="right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CFFCC" w:val="clear"/>
          </w:tcPr>
          <w:p>
            <w:pPr>
              <w:pStyle w:val="Normal"/>
              <w:suppressAutoHyphens w:val="false"/>
              <w:jc w:val="right"/>
              <w:rPr/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7</w:t>
            </w:r>
          </w:p>
        </w:tc>
      </w:tr>
      <w:tr>
        <w:trPr>
          <w:trHeight w:val="458" w:hRule="atLeast"/>
        </w:trPr>
        <w:tc>
          <w:tcPr>
            <w:tcW w:w="685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</w:r>
          </w:p>
        </w:tc>
        <w:tc>
          <w:tcPr>
            <w:tcW w:w="96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Marjon Moulai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/>
            </w:pPr>
            <w:r>
              <w:rPr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/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Atmospheric fluxes library from MCEq with uncertainties</w:t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color w:val="0070C0"/>
                <w:sz w:val="18"/>
                <w:szCs w:val="18"/>
                <w:lang w:eastAsia="en-US" w:bidi="he-IL"/>
              </w:rPr>
            </w:pPr>
            <w:r>
              <w:rPr>
                <w:color w:val="0070C0"/>
                <w:sz w:val="18"/>
                <w:szCs w:val="18"/>
                <w:lang w:eastAsia="en-US" w:bidi="he-IL"/>
              </w:rPr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0.2</w:t>
            </w:r>
          </w:p>
        </w:tc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</w: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</w:r>
          </w:p>
        </w:tc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szCs w:val="18"/>
                <w:lang w:eastAsia="en-US" w:bidi="he-IL"/>
              </w:rPr>
            </w:pPr>
            <w:r>
              <w:rPr/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right"/>
              <w:rPr/>
            </w:pPr>
            <w:r>
              <w:rPr>
                <w:sz w:val="18"/>
                <w:szCs w:val="18"/>
                <w:lang w:eastAsia="en-US" w:bidi="he-IL"/>
              </w:rPr>
              <w:t>0.</w:t>
            </w:r>
            <w:r>
              <w:rPr>
                <w:sz w:val="18"/>
                <w:szCs w:val="18"/>
                <w:lang w:eastAsia="en-US" w:bidi="he-IL"/>
              </w:rPr>
              <w:t>2</w:t>
            </w:r>
          </w:p>
        </w:tc>
      </w:tr>
      <w:tr>
        <w:trPr>
          <w:trHeight w:val="242" w:hRule="atLeast"/>
        </w:trPr>
        <w:tc>
          <w:tcPr>
            <w:tcW w:w="685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</w:r>
          </w:p>
        </w:tc>
        <w:tc>
          <w:tcPr>
            <w:tcW w:w="2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color="auto" w:fill="CCFFCC" w:val="clear"/>
          </w:tcPr>
          <w:p>
            <w:pPr>
              <w:pStyle w:val="Normal"/>
              <w:suppressAutoHyphens w:val="false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Marjon Moulai Total 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Normal"/>
              <w:suppressAutoHyphens w:val="false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color="auto" w:fill="CCFFCC" w:val="clea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/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CCFFCC" w:val="clea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CCFFCC" w:val="clear"/>
          </w:tcPr>
          <w:p>
            <w:pPr>
              <w:pStyle w:val="Normal"/>
              <w:suppressAutoHyphens w:val="false"/>
              <w:rPr/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0.2</w:t>
            </w:r>
          </w:p>
        </w:tc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CCFFCC" w:val="clear"/>
          </w:tcPr>
          <w:p>
            <w:pPr>
              <w:pStyle w:val="Normal"/>
              <w:suppressAutoHyphens w:val="false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</w: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CCFFCC" w:val="clear"/>
          </w:tcPr>
          <w:p>
            <w:pPr>
              <w:pStyle w:val="Normal"/>
              <w:suppressAutoHyphens w:val="false"/>
              <w:jc w:val="right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</w:r>
          </w:p>
        </w:tc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color="auto" w:fill="CCFFCC" w:val="clear"/>
          </w:tcPr>
          <w:p>
            <w:pPr>
              <w:pStyle w:val="Normal"/>
              <w:suppressAutoHyphens w:val="false"/>
              <w:jc w:val="right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/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CFFCC" w:val="clear"/>
          </w:tcPr>
          <w:p>
            <w:pPr>
              <w:pStyle w:val="Normal"/>
              <w:suppressAutoHyphens w:val="false"/>
              <w:jc w:val="right"/>
              <w:rPr/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2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>
        <w:trPr>
          <w:trHeight w:val="458" w:hRule="atLeast"/>
        </w:trPr>
        <w:tc>
          <w:tcPr>
            <w:tcW w:w="685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</w:r>
          </w:p>
        </w:tc>
        <w:tc>
          <w:tcPr>
            <w:tcW w:w="96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/>
            </w:pPr>
            <w:r>
              <w:rPr>
                <w:sz w:val="18"/>
                <w:szCs w:val="18"/>
                <w:lang w:eastAsia="en-US" w:bidi="he-IL"/>
              </w:rPr>
              <w:t>Alejandro Diaz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/>
            </w:pPr>
            <w:r>
              <w:rPr>
                <w:sz w:val="18"/>
                <w:szCs w:val="18"/>
                <w:lang w:eastAsia="en-US" w:bidi="he-IL"/>
              </w:rPr>
              <w:t>Data releases for BSM-wg</w:t>
            </w:r>
            <w:r>
              <w:rPr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/>
            </w:pPr>
            <w:r>
              <w:rPr>
                <w:sz w:val="18"/>
                <w:szCs w:val="18"/>
                <w:lang w:eastAsia="en-US" w:bidi="he-IL"/>
              </w:rPr>
              <w:t>Organize and maintain BSM public data release page</w:t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</w:t>
            </w:r>
          </w:p>
        </w:tc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</w: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szCs w:val="18"/>
                <w:lang w:eastAsia="en-US" w:bidi="he-IL"/>
              </w:rPr>
            </w:pPr>
            <w:r>
              <w:rPr/>
            </w:r>
          </w:p>
        </w:tc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0.25</w:t>
            </w:r>
          </w:p>
        </w:tc>
      </w:tr>
      <w:tr>
        <w:trPr>
          <w:trHeight w:val="233" w:hRule="atLeast"/>
        </w:trPr>
        <w:tc>
          <w:tcPr>
            <w:tcW w:w="685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color="auto" w:fill="CCFFCC" w:val="clear"/>
          </w:tcPr>
          <w:p>
            <w:pPr>
              <w:pStyle w:val="Normal"/>
              <w:suppressAutoHyphens w:val="false"/>
              <w:rPr/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Alejandro Diaz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 Total 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</w:tcBorders>
            <w:shd w:color="auto" w:fill="CCFFCC" w:val="clear"/>
          </w:tcPr>
          <w:p>
            <w:pPr>
              <w:pStyle w:val="Normal"/>
              <w:suppressAutoHyphens w:val="false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color="auto" w:fill="CCFFCC" w:val="clea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CCFFCC" w:val="clea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CCFFCC" w:val="clear"/>
          </w:tcPr>
          <w:p>
            <w:pPr>
              <w:pStyle w:val="Normal"/>
              <w:suppressAutoHyphens w:val="false"/>
              <w:rPr/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0.1</w:t>
            </w:r>
          </w:p>
        </w:tc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CCFFCC" w:val="clear"/>
          </w:tcPr>
          <w:p>
            <w:pPr>
              <w:pStyle w:val="Normal"/>
              <w:suppressAutoHyphens w:val="false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</w: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CCFFCC" w:val="clear"/>
          </w:tcPr>
          <w:p>
            <w:pPr>
              <w:pStyle w:val="Normal"/>
              <w:suppressAutoHyphens w:val="false"/>
              <w:jc w:val="right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/>
            </w:r>
          </w:p>
        </w:tc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color="auto" w:fill="CCFFCC" w:val="clear"/>
          </w:tcPr>
          <w:p>
            <w:pPr>
              <w:pStyle w:val="Normal"/>
              <w:suppressAutoHyphens w:val="false"/>
              <w:jc w:val="right"/>
              <w:rPr>
                <w:b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CFFCC" w:val="clear"/>
          </w:tcPr>
          <w:p>
            <w:pPr>
              <w:pStyle w:val="Normal"/>
              <w:suppressAutoHyphens w:val="false"/>
              <w:jc w:val="right"/>
              <w:rPr/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color="auto" w:fill="FFFF99" w:val="clear"/>
          </w:tcPr>
          <w:p>
            <w:pPr>
              <w:pStyle w:val="Normal"/>
              <w:suppressAutoHyphens w:val="false"/>
              <w:rPr>
                <w:b/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MIT Total</w:t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color="auto" w:fill="FFFF99" w:val="clea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0.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>6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692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FFFF99" w:val="clear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0.0</w:t>
            </w:r>
          </w:p>
        </w:tc>
        <w:tc>
          <w:tcPr>
            <w:tcW w:w="607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FFFF99" w:val="clear"/>
          </w:tcPr>
          <w:p>
            <w:pPr>
              <w:pStyle w:val="Normal"/>
              <w:suppressAutoHyphens w:val="false"/>
              <w:rPr/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 xml:space="preserve">  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>0.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>3</w:t>
            </w:r>
          </w:p>
        </w:tc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FFFF99" w:val="clear"/>
          </w:tcPr>
          <w:p>
            <w:pPr>
              <w:pStyle w:val="Normal"/>
              <w:suppressAutoHyphens w:val="false"/>
              <w:rPr>
                <w:b/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 xml:space="preserve">  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>0.0</w:t>
            </w: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color="auto" w:fill="FFFF99" w:val="clear"/>
          </w:tcPr>
          <w:p>
            <w:pPr>
              <w:pStyle w:val="Normal"/>
              <w:suppressAutoHyphens w:val="false"/>
              <w:jc w:val="right"/>
              <w:rPr/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0.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>60</w:t>
            </w:r>
          </w:p>
        </w:tc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Normal"/>
              <w:suppressAutoHyphens w:val="false"/>
              <w:jc w:val="right"/>
              <w:rPr/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0.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99" w:val="clear"/>
          </w:tcPr>
          <w:p>
            <w:pPr>
              <w:pStyle w:val="Normal"/>
              <w:suppressAutoHyphens w:val="false"/>
              <w:jc w:val="right"/>
              <w:rPr/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1.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>5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  <w:bookmarkStart w:id="0" w:name="_GoBack"/>
            <w:bookmarkEnd w:id="0"/>
          </w:p>
        </w:tc>
      </w:tr>
    </w:tbl>
    <w:p>
      <w:pPr>
        <w:pStyle w:val="Normal"/>
        <w:suppressAutoHyphens w:val="false"/>
        <w:rPr>
          <w:b/>
          <w:b/>
          <w:bCs/>
          <w:color w:val="0070C0"/>
          <w:sz w:val="20"/>
          <w:szCs w:val="20"/>
          <w:lang w:eastAsia="en-US" w:bidi="he-IL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/>
        <w:t xml:space="preserve"> </w:t>
      </w:r>
      <w:r>
        <w:rPr>
          <w:b/>
          <w:bCs/>
        </w:rPr>
        <w:t>Faculty:</w:t>
      </w:r>
    </w:p>
    <w:p>
      <w:pPr>
        <w:pStyle w:val="Normal"/>
        <w:spacing w:before="0" w:after="120"/>
        <w:ind w:left="270" w:right="-900" w:hanging="0"/>
        <w:rPr/>
      </w:pPr>
      <w:r>
        <w:rPr/>
        <w:t xml:space="preserve">Janet M. Conrad – Institution lead, </w:t>
      </w:r>
      <w:r>
        <w:rPr/>
        <w:t>member of the ICB, organizer of CosmicWatch outreach.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Scientists and Post Docs: </w:t>
      </w:r>
    </w:p>
    <w:p>
      <w:pPr>
        <w:pStyle w:val="Normal"/>
        <w:spacing w:before="0" w:after="120"/>
        <w:ind w:left="270" w:right="-900" w:hanging="0"/>
        <w:rPr/>
      </w:pPr>
      <w:r>
        <w:rPr/>
        <w:t xml:space="preserve">Carlos Argüelles -- M&amp;O responsibility is in maintaining and improving his simulation code for use in the </w:t>
      </w:r>
      <w:r>
        <w:rPr/>
        <w:t>MEOWS</w:t>
      </w:r>
      <w:r>
        <w:rPr/>
        <w:t>.  Specific projects are 1) speeding up nuSQuIDS, 2) supporting the transition from NuGen to LeptonInjector/LeptonWeighter, 3) developing new tools for estimation of muon backgrounds, 4) development and support of GolemFit.</w:t>
      </w:r>
    </w:p>
    <w:p>
      <w:pPr>
        <w:pStyle w:val="Normal"/>
        <w:spacing w:before="0" w:after="120"/>
        <w:ind w:left="270" w:right="-900" w:hanging="0"/>
        <w:rPr/>
      </w:pPr>
      <w:r>
        <w:rPr>
          <w:rFonts w:eastAsia="Cambria"/>
          <w:color w:val="0070C0"/>
        </w:rPr>
        <w:t xml:space="preserve">Analysis Topics:  Work on the multiyear high-energy sterile analysis </w:t>
      </w:r>
      <w:r>
        <w:rPr>
          <w:rFonts w:eastAsia="Cambria"/>
          <w:color w:val="0070C0"/>
        </w:rPr>
        <w:t>(MEOWS</w:t>
      </w:r>
      <w:r>
        <w:rPr>
          <w:rFonts w:eastAsia="Cambria"/>
          <w:color w:val="0070C0"/>
        </w:rPr>
        <w:t xml:space="preserve">). Work on the HESE BSM analyses. Write papers arising from the HESE taskforce work.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Grad Students: </w:t>
      </w:r>
    </w:p>
    <w:p>
      <w:pPr>
        <w:pStyle w:val="Normal"/>
        <w:spacing w:before="0" w:after="120"/>
        <w:ind w:left="270" w:right="-900" w:hanging="0"/>
        <w:rPr/>
      </w:pPr>
      <w:r>
        <w:rPr/>
        <w:t>Spencer Axani – (</w:t>
      </w:r>
      <w:r>
        <w:rPr/>
        <w:t>5</w:t>
      </w:r>
      <w:r>
        <w:rPr>
          <w:vertAlign w:val="superscript"/>
        </w:rPr>
        <w:t>nd</w:t>
      </w:r>
      <w:r>
        <w:rPr/>
        <w:t xml:space="preserve"> year) M&amp;O responsibility is in Data Quality, Reconstruction and Simulation (2.5.1), presently concentrating on performing pass2 checks and Monte Carlo for the multiyear sterile neutrino analysis. Document work on new SPE parameterization.  M&amp;O responsibilities in R&amp;D (2.1.2) consist of developing the desktop muon counters used for IceCube outreach.  </w:t>
      </w:r>
    </w:p>
    <w:p>
      <w:pPr>
        <w:pStyle w:val="Normal"/>
        <w:spacing w:before="0" w:after="120"/>
        <w:ind w:left="270" w:right="-900" w:hanging="0"/>
        <w:rPr/>
      </w:pPr>
      <w:r>
        <w:rPr>
          <w:rFonts w:eastAsia="Cambria"/>
          <w:color w:val="0070C0"/>
        </w:rPr>
        <w:t xml:space="preserve">Analysis Topic:  IC86 sterile neutrino analysis using 7-year data set, aka the </w:t>
      </w:r>
      <w:r>
        <w:rPr>
          <w:rFonts w:eastAsia="Cambria"/>
          <w:color w:val="0070C0"/>
        </w:rPr>
        <w:t>MEOWS 3+1</w:t>
      </w:r>
      <w:r>
        <w:rPr>
          <w:rFonts w:eastAsia="Cambria"/>
          <w:color w:val="0070C0"/>
        </w:rPr>
        <w:t>.</w:t>
      </w:r>
    </w:p>
    <w:p>
      <w:pPr>
        <w:pStyle w:val="Normal"/>
        <w:spacing w:before="0" w:after="120"/>
        <w:ind w:left="270" w:right="-900" w:hanging="0"/>
        <w:rPr/>
      </w:pPr>
      <w:r>
        <w:rPr/>
        <w:t>Marjon Moulai – (4</w:t>
      </w:r>
      <w:r>
        <w:rPr>
          <w:vertAlign w:val="superscript"/>
        </w:rPr>
        <w:t>nd</w:t>
      </w:r>
      <w:r>
        <w:rPr/>
        <w:t xml:space="preserve"> year) Study of atmospheric neutrino systematic uncertainties by means of the Barr parameterization. Implement the Barr parameterization in GolemFit </w:t>
      </w:r>
      <w:r>
        <w:rPr/>
        <w:t>in the MEOWS sample.</w:t>
      </w:r>
      <w:r>
        <w:rPr/>
        <w:t xml:space="preserve">    </w:t>
      </w:r>
    </w:p>
    <w:p>
      <w:pPr>
        <w:pStyle w:val="Normal"/>
        <w:spacing w:before="0" w:after="120"/>
        <w:ind w:left="270" w:right="-900" w:hanging="0"/>
        <w:rPr/>
      </w:pPr>
      <w:r>
        <w:rPr>
          <w:rFonts w:eastAsia="Cambria"/>
          <w:color w:val="0070C0"/>
        </w:rPr>
        <w:t xml:space="preserve">Analysis Topics: Develop neutrino decay analysis with the </w:t>
      </w:r>
      <w:r>
        <w:rPr>
          <w:rFonts w:eastAsia="Cambria"/>
          <w:color w:val="0070C0"/>
        </w:rPr>
        <w:t>MEOWS</w:t>
      </w:r>
      <w:r>
        <w:rPr>
          <w:rFonts w:eastAsia="Cambria"/>
          <w:color w:val="0070C0"/>
        </w:rPr>
        <w:t xml:space="preserve"> sample.</w:t>
      </w:r>
    </w:p>
    <w:p>
      <w:pPr>
        <w:pStyle w:val="Normal"/>
        <w:spacing w:before="0" w:after="120"/>
        <w:ind w:left="270" w:right="-900" w:hanging="0"/>
        <w:rPr/>
      </w:pPr>
      <w:r>
        <w:rPr/>
        <w:t>Alejandro Diaz</w:t>
      </w:r>
      <w:r>
        <w:rPr/>
        <w:t xml:space="preserve"> – (</w:t>
      </w:r>
      <w:r>
        <w:rPr/>
        <w:t>3</w:t>
      </w:r>
      <w:r>
        <w:rPr/>
        <w:t xml:space="preserve">rd year)  </w:t>
      </w:r>
      <w:r>
        <w:rPr/>
        <w:t>Developing systematic treatment for MEOWS high-energy extension. Prepare first BSM-wg data repository.</w:t>
      </w:r>
    </w:p>
    <w:p>
      <w:pPr>
        <w:pStyle w:val="Normal"/>
        <w:spacing w:before="0" w:after="120"/>
        <w:ind w:left="270" w:right="-900" w:hanging="0"/>
        <w:rPr/>
      </w:pPr>
      <w:r>
        <w:rPr>
          <w:rFonts w:eastAsia="Cambria"/>
          <w:color w:val="0070C0"/>
        </w:rPr>
        <w:t xml:space="preserve">Analysis Topics: </w:t>
      </w:r>
      <w:r>
        <w:rPr>
          <w:rFonts w:eastAsia="Cambria"/>
          <w:color w:val="0070C0"/>
        </w:rPr>
        <w:t>Extended MEOWS.</w:t>
      </w:r>
    </w:p>
    <w:sectPr>
      <w:headerReference w:type="default" r:id="rId2"/>
      <w:footerReference w:type="default" r:id="rId3"/>
      <w:type w:val="nextPage"/>
      <w:pgSz w:w="12240" w:h="15840"/>
      <w:pgMar w:left="1800" w:right="1800" w:header="72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t xml:space="preserve">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r>
      <w:rPr/>
      <w:t xml:space="preserve">Last updated: </w:t>
    </w:r>
    <w:r>
      <w:rPr/>
      <w:t>April</w:t>
    </w:r>
    <w:r>
      <w:rPr/>
      <w:t xml:space="preserve"> 0</w:t>
    </w:r>
    <w:r>
      <w:rPr/>
      <w:t>1</w:t>
    </w:r>
    <w:r>
      <w:rPr/>
      <w:t>, 2018</w:t>
    </w:r>
  </w:p>
  <w:p>
    <w:pPr>
      <w:pStyle w:val="Header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245"/>
  <w:embedSystemFonts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he-IL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2e84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bidi="ar-SA"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9069fd"/>
    <w:rPr>
      <w:color w:val="0000FF"/>
      <w:u w:val="single"/>
    </w:rPr>
  </w:style>
  <w:style w:type="paragraph" w:styleId="Heading" w:customStyle="1">
    <w:name w:val="Heading"/>
    <w:basedOn w:val="Normal"/>
    <w:next w:val="TextBody"/>
    <w:qFormat/>
    <w:rsid w:val="00d02e84"/>
    <w:pPr>
      <w:keepNext w:val="true"/>
      <w:spacing w:before="240" w:after="120"/>
    </w:pPr>
    <w:rPr>
      <w:rFonts w:ascii="Liberation Sans" w:hAnsi="Liberation Sans" w:eastAsia="DejaVu Sans" w:cs="Lohit Hindi"/>
      <w:sz w:val="28"/>
      <w:szCs w:val="28"/>
    </w:rPr>
  </w:style>
  <w:style w:type="paragraph" w:styleId="TextBody">
    <w:name w:val="Body Text"/>
    <w:basedOn w:val="Normal"/>
    <w:rsid w:val="00d02e84"/>
    <w:pPr>
      <w:spacing w:before="0" w:after="120"/>
    </w:pPr>
    <w:rPr/>
  </w:style>
  <w:style w:type="paragraph" w:styleId="List">
    <w:name w:val="List"/>
    <w:basedOn w:val="TextBody"/>
    <w:rsid w:val="00d02e84"/>
    <w:pPr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d02e84"/>
    <w:pPr>
      <w:suppressLineNumbers/>
    </w:pPr>
    <w:rPr>
      <w:rFonts w:cs="Lohit Hindi"/>
    </w:rPr>
  </w:style>
  <w:style w:type="paragraph" w:styleId="Caption1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styleId="Footnote">
    <w:name w:val="Footnote Text"/>
    <w:basedOn w:val="Normal"/>
    <w:rsid w:val="00d02e84"/>
    <w:pPr>
      <w:spacing w:before="0" w:after="200"/>
    </w:pPr>
    <w:rPr>
      <w:rFonts w:ascii="Cambria" w:hAnsi="Cambria" w:eastAsia="Cambria"/>
      <w:sz w:val="20"/>
      <w:szCs w:val="20"/>
    </w:rPr>
  </w:style>
  <w:style w:type="paragraph" w:styleId="FrameContents" w:customStyle="1">
    <w:name w:val="Frame Contents"/>
    <w:basedOn w:val="TextBody"/>
    <w:qFormat/>
    <w:rsid w:val="00d02e84"/>
    <w:pPr/>
    <w:rPr/>
  </w:style>
  <w:style w:type="paragraph" w:styleId="TableContents" w:customStyle="1">
    <w:name w:val="Table Contents"/>
    <w:basedOn w:val="Normal"/>
    <w:qFormat/>
    <w:rsid w:val="00d02e84"/>
    <w:pPr>
      <w:suppressLineNumbers/>
    </w:pPr>
    <w:rPr/>
  </w:style>
  <w:style w:type="paragraph" w:styleId="TableHeading" w:customStyle="1">
    <w:name w:val="Table Heading"/>
    <w:basedOn w:val="TableContents"/>
    <w:qFormat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rsid w:val="0046623d"/>
    <w:pPr>
      <w:tabs>
        <w:tab w:val="clear" w:pos="720"/>
        <w:tab w:val="center" w:pos="4320" w:leader="none"/>
        <w:tab w:val="right" w:pos="864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LibreOffice/6.2.3.2$Linux_X86_64 LibreOffice_project/20$Build-2</Application>
  <Pages>2</Pages>
  <Words>403</Words>
  <Characters>2368</Characters>
  <CharactersWithSpaces>2749</CharactersWithSpaces>
  <Paragraphs>127</Paragraphs>
  <Company>Project IceCube at UW-Madison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2018-05-05T16:07:00Z</dcterms:created>
  <dc:creator>catherine</dc:creator>
  <dc:description/>
  <dc:language>en-US</dc:language>
  <cp:lastModifiedBy/>
  <cp:lastPrinted>2011-04-26T14:59:00Z</cp:lastPrinted>
  <dcterms:modified xsi:type="dcterms:W3CDTF">2019-05-02T15:01:29Z</dcterms:modified>
  <cp:revision>19</cp:revision>
  <dc:subject/>
  <dc:title>IceCube Institutional Memorandum Of Uderstanding (MOU)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Project IceCube at UW-Madison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