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60" w:rsidRPr="001715CC" w:rsidRDefault="002B1060" w:rsidP="00626C93">
      <w:pPr>
        <w:spacing w:after="0"/>
        <w:jc w:val="center"/>
        <w:rPr>
          <w:rFonts w:ascii="Times New Roman" w:hAnsi="Times New Roman"/>
          <w:b/>
          <w:iCs/>
          <w:color w:val="000000"/>
          <w:u w:val="single"/>
        </w:rPr>
      </w:pPr>
      <w:proofErr w:type="spellStart"/>
      <w:r w:rsidRPr="001715CC">
        <w:rPr>
          <w:rFonts w:ascii="Times New Roman" w:hAnsi="Times New Roman"/>
          <w:b/>
          <w:iCs/>
          <w:color w:val="000000"/>
          <w:u w:val="single"/>
        </w:rPr>
        <w:t>IceCube</w:t>
      </w:r>
      <w:proofErr w:type="spellEnd"/>
      <w:r w:rsidRPr="001715CC">
        <w:rPr>
          <w:rFonts w:ascii="Times New Roman" w:hAnsi="Times New Roman"/>
          <w:b/>
          <w:iCs/>
          <w:color w:val="000000"/>
          <w:u w:val="single"/>
        </w:rPr>
        <w:t xml:space="preserve"> Institutional Memorandum </w:t>
      </w:r>
      <w:proofErr w:type="gramStart"/>
      <w:r w:rsidRPr="001715CC">
        <w:rPr>
          <w:rFonts w:ascii="Times New Roman" w:hAnsi="Times New Roman"/>
          <w:b/>
          <w:iCs/>
          <w:color w:val="000000"/>
          <w:u w:val="single"/>
        </w:rPr>
        <w:t>Of</w:t>
      </w:r>
      <w:proofErr w:type="gramEnd"/>
      <w:r w:rsidRPr="001715CC">
        <w:rPr>
          <w:rFonts w:ascii="Times New Roman" w:hAnsi="Times New Roman"/>
          <w:b/>
          <w:iCs/>
          <w:color w:val="000000"/>
          <w:u w:val="single"/>
        </w:rPr>
        <w:t xml:space="preserve"> U</w:t>
      </w:r>
      <w:r w:rsidR="007C4C9C" w:rsidRPr="001715CC">
        <w:rPr>
          <w:rFonts w:ascii="Times New Roman" w:hAnsi="Times New Roman"/>
          <w:b/>
          <w:iCs/>
          <w:color w:val="000000"/>
          <w:u w:val="single"/>
        </w:rPr>
        <w:t>n</w:t>
      </w:r>
      <w:r w:rsidRPr="001715CC">
        <w:rPr>
          <w:rFonts w:ascii="Times New Roman" w:hAnsi="Times New Roman"/>
          <w:b/>
          <w:iCs/>
          <w:color w:val="000000"/>
          <w:u w:val="single"/>
        </w:rPr>
        <w:t>derstanding (MOU)</w:t>
      </w:r>
    </w:p>
    <w:p w:rsidR="00CF1A87" w:rsidRPr="001715CC" w:rsidRDefault="00CF1A87" w:rsidP="00626C93">
      <w:pPr>
        <w:spacing w:after="0"/>
        <w:jc w:val="center"/>
        <w:rPr>
          <w:rFonts w:ascii="Times New Roman" w:hAnsi="Times New Roman"/>
          <w:b/>
          <w:iCs/>
          <w:color w:val="000000"/>
          <w:u w:val="single"/>
        </w:rPr>
      </w:pPr>
      <w:r w:rsidRPr="001715CC">
        <w:rPr>
          <w:rFonts w:ascii="Times New Roman" w:hAnsi="Times New Roman"/>
          <w:b/>
          <w:iCs/>
          <w:color w:val="000000"/>
          <w:u w:val="single"/>
        </w:rPr>
        <w:t xml:space="preserve">Scope </w:t>
      </w:r>
      <w:proofErr w:type="gramStart"/>
      <w:r w:rsidRPr="001715CC">
        <w:rPr>
          <w:rFonts w:ascii="Times New Roman" w:hAnsi="Times New Roman"/>
          <w:b/>
          <w:iCs/>
          <w:color w:val="000000"/>
          <w:u w:val="single"/>
        </w:rPr>
        <w:t>Of</w:t>
      </w:r>
      <w:proofErr w:type="gramEnd"/>
      <w:r w:rsidRPr="001715CC">
        <w:rPr>
          <w:rFonts w:ascii="Times New Roman" w:hAnsi="Times New Roman"/>
          <w:b/>
          <w:iCs/>
          <w:color w:val="000000"/>
          <w:u w:val="single"/>
        </w:rPr>
        <w:t xml:space="preserve"> Work</w:t>
      </w:r>
    </w:p>
    <w:p w:rsidR="00626C93" w:rsidRPr="001715CC" w:rsidRDefault="00626C93" w:rsidP="00626C93">
      <w:pPr>
        <w:spacing w:after="0"/>
        <w:rPr>
          <w:rFonts w:ascii="Times New Roman" w:hAnsi="Times New Roman"/>
          <w:b/>
          <w:i/>
          <w:color w:val="000000"/>
          <w:sz w:val="22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9540"/>
      </w:tblGrid>
      <w:tr w:rsidR="00CF1A87" w:rsidRPr="001715CC" w:rsidTr="00CF1A87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CF1A87" w:rsidRPr="001715CC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University</w:t>
            </w:r>
            <w:r w:rsidR="00C036B2" w:rsidRPr="001715C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715C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of Alberta</w:t>
            </w:r>
          </w:p>
          <w:p w:rsidR="00CF1A87" w:rsidRPr="001715CC" w:rsidRDefault="00CF1A87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15CC">
              <w:rPr>
                <w:rFonts w:ascii="Times New Roman" w:eastAsia="Times New Roman" w:hAnsi="Times New Roman"/>
                <w:b/>
                <w:bCs/>
                <w:color w:val="000000"/>
              </w:rPr>
              <w:t>Darren Grant</w:t>
            </w:r>
          </w:p>
          <w:p w:rsidR="00CF1A87" w:rsidRPr="001715CC" w:rsidRDefault="00CF1A87" w:rsidP="009B625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GoBack"/>
            <w:bookmarkEnd w:id="0"/>
            <w:proofErr w:type="spellStart"/>
            <w:r w:rsidRPr="001715CC">
              <w:rPr>
                <w:rFonts w:ascii="Times New Roman" w:hAnsi="Times New Roman"/>
                <w:b/>
                <w:bCs/>
                <w:color w:val="000000"/>
              </w:rPr>
              <w:t>Ph.D</w:t>
            </w:r>
            <w:proofErr w:type="spellEnd"/>
            <w:r w:rsidRPr="001715CC">
              <w:rPr>
                <w:rFonts w:ascii="Times New Roman" w:hAnsi="Times New Roman"/>
                <w:b/>
                <w:bCs/>
                <w:color w:val="000000"/>
              </w:rPr>
              <w:t xml:space="preserve"> Scientists</w:t>
            </w:r>
            <w:r w:rsidRPr="001715CC">
              <w:rPr>
                <w:rFonts w:ascii="Times New Roman" w:hAnsi="Times New Roman"/>
                <w:color w:val="000000"/>
              </w:rPr>
              <w:t xml:space="preserve"> (Faculty   Scientist/Post Doc   Grads) :</w:t>
            </w:r>
            <w:r w:rsidR="0036745A" w:rsidRPr="001715C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    </w:t>
            </w:r>
            <w:r w:rsidR="008A1D2D" w:rsidRPr="00E55B0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3</w:t>
            </w:r>
            <w:r w:rsidRPr="00E55B0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="0036745A" w:rsidRPr="00E55B03">
              <w:rPr>
                <w:rFonts w:ascii="Times New Roman" w:eastAsia="Times New Roman" w:hAnsi="Times New Roman"/>
                <w:color w:val="000000" w:themeColor="text1"/>
              </w:rPr>
              <w:t>(2</w:t>
            </w:r>
            <w:r w:rsidR="003D38B6" w:rsidRPr="00E55B0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8A1D2D" w:rsidRPr="00E55B03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7E3E29" w:rsidRPr="00E55B0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9B6258" w:rsidRPr="00E55B03">
              <w:rPr>
                <w:rFonts w:ascii="Times New Roman" w:eastAsia="Times New Roman" w:hAnsi="Times New Roman" w:hint="cs"/>
                <w:color w:val="000000" w:themeColor="text1"/>
                <w:rtl/>
                <w:lang w:bidi="he-IL"/>
              </w:rPr>
              <w:t>3</w:t>
            </w:r>
            <w:r w:rsidRPr="00E55B03">
              <w:rPr>
                <w:rFonts w:ascii="Times New Roman" w:eastAsia="Times New Roman" w:hAnsi="Times New Roman"/>
                <w:color w:val="000000" w:themeColor="text1"/>
              </w:rPr>
              <w:t>)</w:t>
            </w:r>
          </w:p>
        </w:tc>
      </w:tr>
    </w:tbl>
    <w:p w:rsidR="00626C93" w:rsidRPr="001715CC" w:rsidRDefault="00626C93" w:rsidP="00626C93">
      <w:pPr>
        <w:rPr>
          <w:rFonts w:ascii="Times New Roman" w:hAnsi="Times New Roman"/>
          <w:color w:val="000000"/>
        </w:rPr>
      </w:pPr>
    </w:p>
    <w:tbl>
      <w:tblPr>
        <w:tblW w:w="10530" w:type="dxa"/>
        <w:jc w:val="center"/>
        <w:tblLayout w:type="fixed"/>
        <w:tblLook w:val="0000" w:firstRow="0" w:lastRow="0" w:firstColumn="0" w:lastColumn="0" w:noHBand="0" w:noVBand="0"/>
      </w:tblPr>
      <w:tblGrid>
        <w:gridCol w:w="725"/>
        <w:gridCol w:w="1165"/>
        <w:gridCol w:w="1440"/>
        <w:gridCol w:w="2160"/>
        <w:gridCol w:w="720"/>
        <w:gridCol w:w="720"/>
        <w:gridCol w:w="720"/>
        <w:gridCol w:w="720"/>
        <w:gridCol w:w="720"/>
        <w:gridCol w:w="720"/>
        <w:gridCol w:w="720"/>
      </w:tblGrid>
      <w:tr w:rsidR="009B6258" w:rsidRPr="009B6258" w:rsidTr="00681201">
        <w:trPr>
          <w:trHeight w:val="23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/>
            </w:tcBorders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201" w:rsidRPr="009B6258" w:rsidRDefault="00681201" w:rsidP="00681201">
            <w:pPr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9B6258" w:rsidRPr="009B6258" w:rsidTr="00681201">
        <w:trPr>
          <w:trHeight w:val="1442"/>
          <w:jc w:val="center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01" w:rsidRPr="009B6258" w:rsidRDefault="00681201" w:rsidP="00681201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B6258" w:rsidRPr="009B6258" w:rsidTr="00681201">
        <w:trPr>
          <w:trHeight w:val="30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GRANT, DARREN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PubComm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Chair</w:t>
            </w:r>
          </w:p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Engineering and R&amp;D support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Co-</w:t>
            </w: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convenor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for  PINGU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GRANT, DARREN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KOPPER, CLAUDIO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Icetray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framework maintenance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Maintenance of </w:t>
            </w: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clsim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direct photon propagation tool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1201" w:rsidRPr="009B6258" w:rsidRDefault="00681201" w:rsidP="006812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coordination board member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GPU computing resources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B6258" w:rsidRPr="009B6258" w:rsidTr="00681201">
        <w:trPr>
          <w:trHeight w:val="307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Co-convener Diffuse WG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Engineering and R&amp;D support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Lead in-ice high-energy extension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L2 manager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KOPPER, CLAUDIO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0.85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WEAVER, CHRIS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High energy event generator (</w:t>
            </w: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leptoninjector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), PMT simulation, atmospheric flux library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site manager at Compute Canada Resource Allocation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B6258" w:rsidRPr="009B6258" w:rsidTr="00681201">
        <w:trPr>
          <w:trHeight w:val="302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ALBERTA, PO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GR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Nowicki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Sarah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Clsim</w:t>
            </w:r>
            <w:proofErr w:type="spellEnd"/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photon table production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Compute Canada Resource Allocation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Wood, Tania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Calibrations with LED and minimum ionizing muons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25200" w:rsidRPr="009B6258" w:rsidRDefault="00725200" w:rsidP="0095205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0.35</w:t>
            </w:r>
          </w:p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0.35</w:t>
            </w:r>
          </w:p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ALBERTA 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25200" w:rsidRPr="009B6258" w:rsidRDefault="00952054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725200" w:rsidRPr="009B6258" w:rsidRDefault="00725200" w:rsidP="007252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0.80</w:t>
            </w:r>
          </w:p>
        </w:tc>
      </w:tr>
      <w:tr w:rsidR="009B6258" w:rsidRPr="009B6258" w:rsidTr="00681201">
        <w:trPr>
          <w:trHeight w:val="255"/>
          <w:jc w:val="center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nil"/>
            </w:tcBorders>
            <w:shd w:val="clear" w:color="auto" w:fill="FFFF99"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ALBERTA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/>
            </w:tcBorders>
            <w:shd w:val="clear" w:color="auto" w:fill="FFFF99"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99"/>
            <w:noWrap/>
          </w:tcPr>
          <w:p w:rsidR="00952054" w:rsidRPr="009B6258" w:rsidRDefault="00952054" w:rsidP="009520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9B62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2.95</w:t>
            </w:r>
          </w:p>
        </w:tc>
      </w:tr>
    </w:tbl>
    <w:p w:rsidR="006E29E0" w:rsidRDefault="006E29E0" w:rsidP="006E29E0">
      <w:pPr>
        <w:spacing w:after="0"/>
        <w:ind w:left="-547"/>
        <w:rPr>
          <w:rFonts w:ascii="Times New Roman" w:hAnsi="Times New Roman"/>
          <w:b/>
          <w:bCs/>
          <w:color w:val="000000"/>
        </w:rPr>
      </w:pPr>
    </w:p>
    <w:p w:rsidR="00626C93" w:rsidRPr="001715CC" w:rsidRDefault="00626C93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lastRenderedPageBreak/>
        <w:t>Faculty:</w:t>
      </w:r>
    </w:p>
    <w:p w:rsidR="00626C93" w:rsidRPr="001715CC" w:rsidRDefault="00626C93" w:rsidP="00BF0803">
      <w:pPr>
        <w:spacing w:after="120"/>
        <w:ind w:left="-540" w:right="-900" w:firstLine="720"/>
        <w:rPr>
          <w:rFonts w:ascii="Times New Roman" w:hAnsi="Times New Roman"/>
          <w:color w:val="000000"/>
        </w:rPr>
      </w:pPr>
      <w:r w:rsidRPr="001715CC">
        <w:rPr>
          <w:rFonts w:ascii="Times New Roman" w:hAnsi="Times New Roman"/>
          <w:color w:val="000000"/>
        </w:rPr>
        <w:t>Darren Grant</w:t>
      </w:r>
      <w:r w:rsidR="0033526D" w:rsidRPr="001715CC">
        <w:rPr>
          <w:rFonts w:ascii="Times New Roman" w:hAnsi="Times New Roman"/>
          <w:color w:val="000000"/>
        </w:rPr>
        <w:t xml:space="preserve">, Claudio </w:t>
      </w:r>
      <w:proofErr w:type="spellStart"/>
      <w:r w:rsidR="0033526D" w:rsidRPr="001715CC">
        <w:rPr>
          <w:rFonts w:ascii="Times New Roman" w:hAnsi="Times New Roman"/>
          <w:color w:val="000000"/>
        </w:rPr>
        <w:t>Kopper</w:t>
      </w:r>
      <w:proofErr w:type="spellEnd"/>
      <w:r w:rsidR="0033526D" w:rsidRPr="001715CC">
        <w:rPr>
          <w:rFonts w:ascii="Times New Roman" w:hAnsi="Times New Roman"/>
          <w:color w:val="000000"/>
        </w:rPr>
        <w:t xml:space="preserve"> </w:t>
      </w:r>
      <w:r w:rsidR="00D7328A" w:rsidRPr="001715CC">
        <w:rPr>
          <w:rFonts w:ascii="Times New Roman" w:hAnsi="Times New Roman"/>
          <w:color w:val="000000"/>
        </w:rPr>
        <w:t xml:space="preserve"> </w:t>
      </w:r>
    </w:p>
    <w:p w:rsidR="0039732F" w:rsidRPr="001715CC" w:rsidRDefault="0039732F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</w:p>
    <w:p w:rsidR="00626C93" w:rsidRPr="001715CC" w:rsidRDefault="00626C93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 xml:space="preserve">Scientists and Post Docs: </w:t>
      </w:r>
    </w:p>
    <w:p w:rsidR="008B1391" w:rsidRPr="001715CC" w:rsidRDefault="008B1391" w:rsidP="0033526D">
      <w:pPr>
        <w:spacing w:after="120"/>
        <w:ind w:left="180"/>
        <w:rPr>
          <w:rFonts w:ascii="Times New Roman" w:hAnsi="Times New Roman"/>
          <w:color w:val="000000"/>
        </w:rPr>
      </w:pPr>
      <w:r w:rsidRPr="001715CC">
        <w:rPr>
          <w:rFonts w:ascii="Times New Roman" w:hAnsi="Times New Roman"/>
          <w:color w:val="000000"/>
        </w:rPr>
        <w:t>Chris Weaver: high-energy event generator development (the “</w:t>
      </w:r>
      <w:proofErr w:type="spellStart"/>
      <w:r w:rsidRPr="001715CC">
        <w:rPr>
          <w:rFonts w:ascii="Times New Roman" w:hAnsi="Times New Roman"/>
          <w:color w:val="000000"/>
        </w:rPr>
        <w:t>LeptonInjector</w:t>
      </w:r>
      <w:proofErr w:type="spellEnd"/>
      <w:r w:rsidRPr="001715CC">
        <w:rPr>
          <w:rFonts w:ascii="Times New Roman" w:hAnsi="Times New Roman"/>
          <w:color w:val="000000"/>
        </w:rPr>
        <w:t>” project); PMT simulation and development of an atmospheric flux library (“</w:t>
      </w:r>
      <w:proofErr w:type="spellStart"/>
      <w:r w:rsidRPr="001715CC">
        <w:rPr>
          <w:rFonts w:ascii="Times New Roman" w:hAnsi="Times New Roman"/>
          <w:color w:val="000000"/>
        </w:rPr>
        <w:t>NewNuFlux</w:t>
      </w:r>
      <w:proofErr w:type="spellEnd"/>
      <w:r w:rsidRPr="001715CC">
        <w:rPr>
          <w:rFonts w:ascii="Times New Roman" w:hAnsi="Times New Roman"/>
          <w:color w:val="000000"/>
        </w:rPr>
        <w:t>”)</w:t>
      </w:r>
      <w:r w:rsidR="005A2E8B">
        <w:rPr>
          <w:rFonts w:ascii="Times New Roman" w:hAnsi="Times New Roman"/>
          <w:color w:val="000000"/>
        </w:rPr>
        <w:t xml:space="preserve">. </w:t>
      </w:r>
      <w:r w:rsidR="005A2E8B" w:rsidRPr="005A2E8B">
        <w:rPr>
          <w:rFonts w:ascii="Times New Roman" w:hAnsi="Times New Roman"/>
          <w:color w:val="000000"/>
        </w:rPr>
        <w:t>Simulation production site manager at Compute Canada Resource</w:t>
      </w:r>
    </w:p>
    <w:p w:rsidR="00626C93" w:rsidRPr="001715CC" w:rsidRDefault="00B863ED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>Ph.D.</w:t>
      </w:r>
      <w:r w:rsidR="004E5162" w:rsidRPr="001715CC">
        <w:rPr>
          <w:rFonts w:ascii="Times New Roman" w:hAnsi="Times New Roman"/>
          <w:b/>
          <w:bCs/>
          <w:color w:val="000000"/>
        </w:rPr>
        <w:t xml:space="preserve"> </w:t>
      </w:r>
      <w:r w:rsidR="00626C93" w:rsidRPr="001715CC">
        <w:rPr>
          <w:rFonts w:ascii="Times New Roman" w:hAnsi="Times New Roman"/>
          <w:b/>
          <w:bCs/>
          <w:color w:val="000000"/>
        </w:rPr>
        <w:t>Students:</w:t>
      </w:r>
    </w:p>
    <w:p w:rsidR="004E5162" w:rsidRPr="001715CC" w:rsidRDefault="00E04B2A" w:rsidP="004E5162">
      <w:pPr>
        <w:spacing w:after="120"/>
        <w:ind w:left="180" w:right="-900"/>
        <w:rPr>
          <w:rFonts w:ascii="Times New Roman" w:eastAsia="Times New Roman" w:hAnsi="Times New Roman"/>
          <w:color w:val="000000"/>
          <w:lang w:bidi="he-IL"/>
        </w:rPr>
      </w:pPr>
      <w:r w:rsidRPr="001715CC">
        <w:rPr>
          <w:rFonts w:ascii="Times New Roman" w:hAnsi="Times New Roman"/>
          <w:color w:val="000000"/>
        </w:rPr>
        <w:t>Tania Wood (PhD</w:t>
      </w:r>
      <w:r w:rsidR="00830461" w:rsidRPr="001715CC">
        <w:rPr>
          <w:rFonts w:ascii="Times New Roman" w:hAnsi="Times New Roman"/>
          <w:color w:val="000000"/>
        </w:rPr>
        <w:t>)</w:t>
      </w:r>
      <w:r w:rsidR="004E5162" w:rsidRPr="001715CC">
        <w:rPr>
          <w:rFonts w:ascii="Times New Roman" w:hAnsi="Times New Roman"/>
          <w:color w:val="000000"/>
        </w:rPr>
        <w:t xml:space="preserve">: </w:t>
      </w:r>
      <w:r w:rsidR="007B5F26" w:rsidRPr="001715CC">
        <w:rPr>
          <w:rFonts w:ascii="Times New Roman" w:eastAsia="Times New Roman" w:hAnsi="Times New Roman"/>
          <w:color w:val="000000"/>
          <w:lang w:bidi="he-IL"/>
        </w:rPr>
        <w:t xml:space="preserve">Calibration working group (detector systematics with LEDs) (Analysis focus – </w:t>
      </w:r>
      <w:r w:rsidR="0036745A" w:rsidRPr="001715CC">
        <w:rPr>
          <w:rFonts w:ascii="Times New Roman" w:eastAsia="Times New Roman" w:hAnsi="Times New Roman"/>
          <w:color w:val="000000"/>
          <w:lang w:bidi="he-IL"/>
        </w:rPr>
        <w:t>low-energy atmospheric neutrino flux</w:t>
      </w:r>
      <w:r w:rsidR="007B5F26" w:rsidRPr="001715CC">
        <w:rPr>
          <w:rFonts w:ascii="Times New Roman" w:eastAsia="Times New Roman" w:hAnsi="Times New Roman"/>
          <w:color w:val="000000"/>
          <w:lang w:bidi="he-IL"/>
        </w:rPr>
        <w:t>)</w:t>
      </w:r>
    </w:p>
    <w:p w:rsidR="007B5F26" w:rsidRDefault="007B5F26" w:rsidP="004E5162">
      <w:pPr>
        <w:spacing w:after="120"/>
        <w:ind w:left="180" w:right="-900"/>
        <w:rPr>
          <w:rFonts w:ascii="Times New Roman" w:eastAsia="Times New Roman" w:hAnsi="Times New Roman"/>
          <w:color w:val="000000"/>
          <w:lang w:bidi="he-IL"/>
        </w:rPr>
      </w:pPr>
      <w:r w:rsidRPr="001715CC">
        <w:rPr>
          <w:rFonts w:ascii="Times New Roman" w:eastAsia="Times New Roman" w:hAnsi="Times New Roman"/>
          <w:color w:val="000000"/>
          <w:lang w:bidi="he-IL"/>
        </w:rPr>
        <w:t xml:space="preserve">Sarah </w:t>
      </w:r>
      <w:proofErr w:type="spellStart"/>
      <w:r w:rsidRPr="001715CC">
        <w:rPr>
          <w:rFonts w:ascii="Times New Roman" w:eastAsia="Times New Roman" w:hAnsi="Times New Roman"/>
          <w:color w:val="000000"/>
          <w:lang w:bidi="he-IL"/>
        </w:rPr>
        <w:t>Nowicki</w:t>
      </w:r>
      <w:proofErr w:type="spellEnd"/>
      <w:r w:rsidRPr="001715CC">
        <w:rPr>
          <w:rFonts w:ascii="Times New Roman" w:eastAsia="Times New Roman" w:hAnsi="Times New Roman"/>
          <w:color w:val="000000"/>
          <w:lang w:bidi="he-IL"/>
        </w:rPr>
        <w:t xml:space="preserve"> (PhD): Simulation pr</w:t>
      </w:r>
      <w:r w:rsidR="0036745A" w:rsidRPr="001715CC">
        <w:rPr>
          <w:rFonts w:ascii="Times New Roman" w:eastAsia="Times New Roman" w:hAnsi="Times New Roman"/>
          <w:color w:val="000000"/>
          <w:lang w:bidi="he-IL"/>
        </w:rPr>
        <w:t xml:space="preserve">oduction – </w:t>
      </w:r>
      <w:proofErr w:type="spellStart"/>
      <w:r w:rsidR="0036745A" w:rsidRPr="001715CC">
        <w:rPr>
          <w:rFonts w:ascii="Times New Roman" w:eastAsia="Times New Roman" w:hAnsi="Times New Roman"/>
          <w:color w:val="000000"/>
          <w:lang w:bidi="he-IL"/>
        </w:rPr>
        <w:t>WestGrid</w:t>
      </w:r>
      <w:proofErr w:type="spellEnd"/>
      <w:r w:rsidR="0036745A" w:rsidRPr="001715CC">
        <w:rPr>
          <w:rFonts w:ascii="Times New Roman" w:eastAsia="Times New Roman" w:hAnsi="Times New Roman"/>
          <w:color w:val="000000"/>
          <w:lang w:bidi="he-IL"/>
        </w:rPr>
        <w:t xml:space="preserve"> computing; </w:t>
      </w:r>
      <w:r w:rsidRPr="001715CC">
        <w:rPr>
          <w:rFonts w:ascii="Times New Roman" w:eastAsia="Times New Roman" w:hAnsi="Times New Roman"/>
          <w:color w:val="000000"/>
          <w:lang w:bidi="he-IL"/>
        </w:rPr>
        <w:t xml:space="preserve">muon table production.  (Analysis focus – neutrino oscillations with </w:t>
      </w:r>
      <w:proofErr w:type="spellStart"/>
      <w:r w:rsidRPr="001715CC">
        <w:rPr>
          <w:rFonts w:ascii="Times New Roman" w:eastAsia="Times New Roman" w:hAnsi="Times New Roman"/>
          <w:color w:val="000000"/>
          <w:lang w:bidi="he-IL"/>
        </w:rPr>
        <w:t>DeepCore</w:t>
      </w:r>
      <w:proofErr w:type="spellEnd"/>
      <w:r w:rsidRPr="001715CC">
        <w:rPr>
          <w:rFonts w:ascii="Times New Roman" w:eastAsia="Times New Roman" w:hAnsi="Times New Roman"/>
          <w:color w:val="000000"/>
          <w:lang w:bidi="he-IL"/>
        </w:rPr>
        <w:t>)</w:t>
      </w:r>
    </w:p>
    <w:p w:rsidR="009B6258" w:rsidRPr="001715CC" w:rsidRDefault="009B6258" w:rsidP="004E5162">
      <w:pPr>
        <w:spacing w:after="120"/>
        <w:ind w:left="180" w:right="-900"/>
        <w:rPr>
          <w:rFonts w:ascii="Times New Roman" w:eastAsia="Times New Roman" w:hAnsi="Times New Roman"/>
          <w:color w:val="000000"/>
          <w:lang w:bidi="he-IL"/>
        </w:rPr>
      </w:pPr>
      <w:r w:rsidRPr="009B6258">
        <w:rPr>
          <w:rFonts w:ascii="Times New Roman" w:eastAsia="Times New Roman" w:hAnsi="Times New Roman"/>
          <w:color w:val="000000"/>
          <w:lang w:bidi="he-IL"/>
        </w:rPr>
        <w:t>Juan Pablo Yanez</w:t>
      </w:r>
      <w:r>
        <w:rPr>
          <w:rFonts w:ascii="Times New Roman" w:eastAsia="Times New Roman" w:hAnsi="Times New Roman"/>
          <w:color w:val="000000"/>
          <w:lang w:bidi="he-IL"/>
        </w:rPr>
        <w:t xml:space="preserve"> (PhD): TBD </w:t>
      </w:r>
    </w:p>
    <w:p w:rsidR="004E5162" w:rsidRPr="001715CC" w:rsidRDefault="004E5162" w:rsidP="004E5162">
      <w:pPr>
        <w:spacing w:after="120"/>
        <w:ind w:left="-547"/>
        <w:rPr>
          <w:rFonts w:ascii="Times New Roman" w:hAnsi="Times New Roman"/>
          <w:b/>
          <w:bCs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>Diploma/Master Students:</w:t>
      </w:r>
      <w:r w:rsidR="00D343C8" w:rsidRPr="001715CC">
        <w:rPr>
          <w:rFonts w:ascii="Times New Roman" w:hAnsi="Times New Roman"/>
          <w:b/>
          <w:bCs/>
          <w:color w:val="000000"/>
        </w:rPr>
        <w:t xml:space="preserve"> </w:t>
      </w:r>
      <w:r w:rsidR="00383D6F">
        <w:rPr>
          <w:rFonts w:ascii="Times New Roman" w:hAnsi="Times New Roman"/>
          <w:b/>
          <w:bCs/>
          <w:color w:val="000000"/>
        </w:rPr>
        <w:t>1</w:t>
      </w:r>
      <w:r w:rsidR="00D343C8" w:rsidRPr="001715CC">
        <w:rPr>
          <w:rFonts w:ascii="Times New Roman" w:hAnsi="Times New Roman"/>
          <w:b/>
          <w:bCs/>
          <w:color w:val="000000"/>
        </w:rPr>
        <w:t xml:space="preserve"> new MSc student</w:t>
      </w:r>
      <w:r w:rsidR="00383D6F">
        <w:rPr>
          <w:rFonts w:ascii="Times New Roman" w:hAnsi="Times New Roman"/>
          <w:b/>
          <w:bCs/>
          <w:color w:val="000000"/>
        </w:rPr>
        <w:t xml:space="preserve"> started September 2016. </w:t>
      </w:r>
    </w:p>
    <w:p w:rsidR="00B5582B" w:rsidRPr="001715CC" w:rsidRDefault="00830461" w:rsidP="004E5162">
      <w:pPr>
        <w:spacing w:after="120"/>
        <w:ind w:left="-540" w:right="-900"/>
        <w:rPr>
          <w:rFonts w:ascii="Times New Roman" w:hAnsi="Times New Roman"/>
          <w:color w:val="000000"/>
        </w:rPr>
      </w:pPr>
      <w:r w:rsidRPr="001715CC">
        <w:rPr>
          <w:rFonts w:ascii="Times New Roman" w:hAnsi="Times New Roman"/>
          <w:b/>
          <w:bCs/>
          <w:color w:val="000000"/>
        </w:rPr>
        <w:t>Undergraduates:</w:t>
      </w:r>
      <w:r w:rsidR="00C10FE0" w:rsidRPr="001715CC">
        <w:rPr>
          <w:rFonts w:ascii="Times New Roman" w:hAnsi="Times New Roman"/>
          <w:color w:val="000000"/>
        </w:rPr>
        <w:t xml:space="preserve"> </w:t>
      </w:r>
      <w:r w:rsidR="0033526D" w:rsidRPr="001715CC">
        <w:rPr>
          <w:rFonts w:ascii="Times New Roman" w:hAnsi="Times New Roman"/>
          <w:color w:val="000000"/>
        </w:rPr>
        <w:t>4</w:t>
      </w:r>
      <w:r w:rsidR="00805C4A" w:rsidRPr="001715CC">
        <w:rPr>
          <w:rFonts w:ascii="Times New Roman" w:hAnsi="Times New Roman"/>
          <w:color w:val="000000"/>
        </w:rPr>
        <w:t xml:space="preserve"> summer students.</w:t>
      </w:r>
    </w:p>
    <w:p w:rsidR="00626C93" w:rsidRPr="001715CC" w:rsidRDefault="00626C93" w:rsidP="00BF0803">
      <w:pPr>
        <w:ind w:left="-540" w:right="-540"/>
        <w:rPr>
          <w:b/>
          <w:color w:val="000000"/>
        </w:rPr>
      </w:pPr>
      <w:r w:rsidRPr="001715CC">
        <w:rPr>
          <w:b/>
          <w:color w:val="000000"/>
        </w:rPr>
        <w:t xml:space="preserve">Explanation: </w:t>
      </w:r>
    </w:p>
    <w:p w:rsidR="00522DCC" w:rsidRPr="001715CC" w:rsidRDefault="00522DCC" w:rsidP="007C525B">
      <w:pPr>
        <w:ind w:left="-540" w:right="-540"/>
        <w:jc w:val="both"/>
        <w:rPr>
          <w:color w:val="000000"/>
        </w:rPr>
      </w:pPr>
      <w:r w:rsidRPr="001715CC">
        <w:rPr>
          <w:color w:val="000000"/>
        </w:rPr>
        <w:t xml:space="preserve">A Canadian Natural Science and Engineering Research Council (NSERC) Discovery Subatomic Projects grant </w:t>
      </w:r>
      <w:r w:rsidR="00B93030">
        <w:rPr>
          <w:color w:val="000000"/>
        </w:rPr>
        <w:t>was just renewed for a 2-</w:t>
      </w:r>
      <w:r w:rsidR="0004574A" w:rsidRPr="001715CC">
        <w:rPr>
          <w:color w:val="000000"/>
        </w:rPr>
        <w:t xml:space="preserve">year period to support </w:t>
      </w:r>
      <w:proofErr w:type="spellStart"/>
      <w:r w:rsidR="0004574A" w:rsidRPr="001715CC">
        <w:rPr>
          <w:color w:val="000000"/>
        </w:rPr>
        <w:t>IceCube</w:t>
      </w:r>
      <w:proofErr w:type="spellEnd"/>
      <w:r w:rsidR="0004574A" w:rsidRPr="001715CC">
        <w:rPr>
          <w:color w:val="000000"/>
        </w:rPr>
        <w:t xml:space="preserve"> and IceCube-Gen2 activities at the University of Alberta and University of Toronto.  The level of support is for 3 full-participant </w:t>
      </w:r>
      <w:proofErr w:type="gramStart"/>
      <w:r w:rsidR="0004574A" w:rsidRPr="001715CC">
        <w:rPr>
          <w:color w:val="000000"/>
        </w:rPr>
        <w:t>faculty</w:t>
      </w:r>
      <w:proofErr w:type="gramEnd"/>
      <w:r w:rsidR="0004574A" w:rsidRPr="001715CC">
        <w:rPr>
          <w:color w:val="000000"/>
        </w:rPr>
        <w:t xml:space="preserve"> (Clark, Grant, </w:t>
      </w:r>
      <w:proofErr w:type="spellStart"/>
      <w:r w:rsidR="0004574A" w:rsidRPr="001715CC">
        <w:rPr>
          <w:color w:val="000000"/>
        </w:rPr>
        <w:t>Kopper</w:t>
      </w:r>
      <w:proofErr w:type="spellEnd"/>
      <w:r w:rsidR="0004574A" w:rsidRPr="001715CC">
        <w:rPr>
          <w:color w:val="000000"/>
        </w:rPr>
        <w:t xml:space="preserve">) and 3 associate faculty (Krauss, Moore, Pinfold).  Also supported are </w:t>
      </w:r>
      <w:proofErr w:type="spellStart"/>
      <w:r w:rsidR="0004574A" w:rsidRPr="001715CC">
        <w:rPr>
          <w:color w:val="000000"/>
        </w:rPr>
        <w:t>Benedikt</w:t>
      </w:r>
      <w:proofErr w:type="spellEnd"/>
      <w:r w:rsidR="00D90D14" w:rsidRPr="001715CC">
        <w:rPr>
          <w:color w:val="000000"/>
        </w:rPr>
        <w:t xml:space="preserve"> and Chris</w:t>
      </w:r>
      <w:r w:rsidR="0004574A" w:rsidRPr="001715CC">
        <w:rPr>
          <w:color w:val="000000"/>
        </w:rPr>
        <w:t xml:space="preserve"> plans for up to </w:t>
      </w:r>
      <w:r w:rsidR="00D90D14" w:rsidRPr="001715CC">
        <w:rPr>
          <w:color w:val="000000"/>
        </w:rPr>
        <w:t>5</w:t>
      </w:r>
      <w:r w:rsidR="0004574A" w:rsidRPr="001715CC">
        <w:rPr>
          <w:color w:val="000000"/>
        </w:rPr>
        <w:t xml:space="preserve"> PhD students (in this time) and 4 undergraduate students at the University of Alberta.  </w:t>
      </w:r>
    </w:p>
    <w:p w:rsidR="00626C93" w:rsidRPr="001715CC" w:rsidRDefault="00626C93" w:rsidP="00BF0803">
      <w:pPr>
        <w:ind w:left="-540" w:right="-540"/>
        <w:rPr>
          <w:b/>
          <w:color w:val="000000"/>
        </w:rPr>
      </w:pPr>
      <w:r w:rsidRPr="001715CC">
        <w:rPr>
          <w:b/>
          <w:color w:val="000000"/>
        </w:rPr>
        <w:t>Description of planned analysis:</w:t>
      </w:r>
    </w:p>
    <w:p w:rsidR="006E0C8C" w:rsidRPr="001715CC" w:rsidRDefault="008B70D9" w:rsidP="007C525B">
      <w:pPr>
        <w:ind w:left="-540" w:right="-540"/>
        <w:jc w:val="both"/>
        <w:rPr>
          <w:color w:val="000000"/>
        </w:rPr>
      </w:pPr>
      <w:r w:rsidRPr="001715CC">
        <w:rPr>
          <w:color w:val="000000"/>
        </w:rPr>
        <w:t xml:space="preserve">The </w:t>
      </w:r>
      <w:r w:rsidR="00BA0922" w:rsidRPr="001715CC">
        <w:rPr>
          <w:color w:val="000000"/>
        </w:rPr>
        <w:t xml:space="preserve">Alberta group has focused thus far on analyses involving data from </w:t>
      </w:r>
      <w:proofErr w:type="spellStart"/>
      <w:r w:rsidR="00BA0922" w:rsidRPr="001715CC">
        <w:rPr>
          <w:color w:val="000000"/>
        </w:rPr>
        <w:t>DeepCore</w:t>
      </w:r>
      <w:proofErr w:type="spellEnd"/>
      <w:r w:rsidR="00BA0922" w:rsidRPr="001715CC">
        <w:rPr>
          <w:color w:val="000000"/>
        </w:rPr>
        <w:t xml:space="preserve"> and the development of the PINGU project. </w:t>
      </w:r>
      <w:r w:rsidR="00E04B2A" w:rsidRPr="001715CC">
        <w:rPr>
          <w:color w:val="000000"/>
        </w:rPr>
        <w:t>Tania’s PhD</w:t>
      </w:r>
      <w:r w:rsidR="006E0C8C" w:rsidRPr="001715CC">
        <w:rPr>
          <w:color w:val="000000"/>
        </w:rPr>
        <w:t xml:space="preserve"> thesis </w:t>
      </w:r>
      <w:r w:rsidR="00BA0922" w:rsidRPr="001715CC">
        <w:rPr>
          <w:color w:val="000000"/>
        </w:rPr>
        <w:t xml:space="preserve">is the measurement of the atmospheric neutrino flux at energies to ~10 GeV with </w:t>
      </w:r>
      <w:proofErr w:type="spellStart"/>
      <w:r w:rsidR="00BA0922" w:rsidRPr="001715CC">
        <w:rPr>
          <w:color w:val="000000"/>
        </w:rPr>
        <w:t>DeepCore</w:t>
      </w:r>
      <w:proofErr w:type="spellEnd"/>
      <w:r w:rsidR="00BA0922" w:rsidRPr="001715CC">
        <w:rPr>
          <w:color w:val="000000"/>
        </w:rPr>
        <w:t xml:space="preserve">.  Sarah is currently working on </w:t>
      </w:r>
      <w:r w:rsidR="00E04B2A" w:rsidRPr="001715CC">
        <w:rPr>
          <w:color w:val="000000"/>
        </w:rPr>
        <w:t>semi-infinite muon spline tables</w:t>
      </w:r>
      <w:r w:rsidR="007B5F26" w:rsidRPr="001715CC">
        <w:rPr>
          <w:color w:val="000000"/>
        </w:rPr>
        <w:t xml:space="preserve"> and simulation production on </w:t>
      </w:r>
      <w:proofErr w:type="spellStart"/>
      <w:r w:rsidR="007B5F26" w:rsidRPr="001715CC">
        <w:rPr>
          <w:color w:val="000000"/>
        </w:rPr>
        <w:t>WestGrid</w:t>
      </w:r>
      <w:proofErr w:type="spellEnd"/>
      <w:r w:rsidR="00BA0922" w:rsidRPr="001715CC">
        <w:rPr>
          <w:color w:val="000000"/>
        </w:rPr>
        <w:t xml:space="preserve"> and will complete her PhD thesis on a test of maximal </w:t>
      </w:r>
      <w:proofErr w:type="spellStart"/>
      <w:r w:rsidR="00BA0922" w:rsidRPr="001715CC">
        <w:rPr>
          <w:color w:val="000000"/>
        </w:rPr>
        <w:t>theta_atm</w:t>
      </w:r>
      <w:proofErr w:type="spellEnd"/>
      <w:r w:rsidR="00BA0922" w:rsidRPr="001715CC">
        <w:rPr>
          <w:color w:val="000000"/>
        </w:rPr>
        <w:t xml:space="preserve"> mixing with the 5-year </w:t>
      </w:r>
      <w:proofErr w:type="spellStart"/>
      <w:r w:rsidR="00BA0922" w:rsidRPr="001715CC">
        <w:rPr>
          <w:color w:val="000000"/>
        </w:rPr>
        <w:t>DeepCore</w:t>
      </w:r>
      <w:proofErr w:type="spellEnd"/>
      <w:r w:rsidR="00BA0922" w:rsidRPr="001715CC">
        <w:rPr>
          <w:color w:val="000000"/>
        </w:rPr>
        <w:t xml:space="preserve"> dataset. The undergraduates this summer have worked on the measurement of DOM efficiency with </w:t>
      </w:r>
      <w:r w:rsidR="007C525B" w:rsidRPr="001715CC">
        <w:rPr>
          <w:color w:val="000000"/>
        </w:rPr>
        <w:t xml:space="preserve">stopped muons, trigger efficiency studies of PINGU and a direct fitter with simulation.  With the addition of </w:t>
      </w:r>
      <w:proofErr w:type="spellStart"/>
      <w:r w:rsidR="007C525B" w:rsidRPr="001715CC">
        <w:rPr>
          <w:color w:val="000000"/>
        </w:rPr>
        <w:t>Kopper</w:t>
      </w:r>
      <w:proofErr w:type="spellEnd"/>
      <w:r w:rsidR="007C525B" w:rsidRPr="001715CC">
        <w:rPr>
          <w:color w:val="000000"/>
        </w:rPr>
        <w:t xml:space="preserve"> as tenure-track faculty, this analysis program will grow significantly to include studies of high-energy neutrino searches and design studies for the high-energy detector extension.  </w:t>
      </w:r>
    </w:p>
    <w:p w:rsidR="00DA1185" w:rsidRPr="001715CC" w:rsidRDefault="00DA1185" w:rsidP="007C525B">
      <w:pPr>
        <w:ind w:left="-540" w:right="-540"/>
        <w:rPr>
          <w:b/>
          <w:color w:val="000000"/>
        </w:rPr>
      </w:pPr>
    </w:p>
    <w:p w:rsidR="007C525B" w:rsidRPr="001715CC" w:rsidRDefault="00A4123A" w:rsidP="007C525B">
      <w:pPr>
        <w:ind w:left="-540" w:right="-540"/>
        <w:rPr>
          <w:b/>
          <w:color w:val="000000"/>
        </w:rPr>
      </w:pPr>
      <w:r w:rsidRPr="001715CC">
        <w:rPr>
          <w:b/>
          <w:color w:val="000000"/>
        </w:rPr>
        <w:br w:type="page"/>
      </w:r>
      <w:r w:rsidR="00626C93" w:rsidRPr="001715CC">
        <w:rPr>
          <w:b/>
          <w:color w:val="000000"/>
        </w:rPr>
        <w:lastRenderedPageBreak/>
        <w:t>Description of Service work</w:t>
      </w:r>
    </w:p>
    <w:p w:rsidR="009C15CA" w:rsidRDefault="007C525B" w:rsidP="00F11966">
      <w:pPr>
        <w:ind w:left="-540" w:right="-540"/>
        <w:jc w:val="both"/>
        <w:rPr>
          <w:color w:val="000000"/>
        </w:rPr>
      </w:pPr>
      <w:r w:rsidRPr="001715CC">
        <w:rPr>
          <w:color w:val="000000"/>
        </w:rPr>
        <w:t xml:space="preserve">Compute-Canada resources have been established as a primary simulation production resource for the </w:t>
      </w:r>
      <w:proofErr w:type="spellStart"/>
      <w:r w:rsidRPr="001715CC">
        <w:rPr>
          <w:color w:val="000000"/>
        </w:rPr>
        <w:t>Ic</w:t>
      </w:r>
      <w:r w:rsidR="00EC63F6" w:rsidRPr="001715CC">
        <w:rPr>
          <w:color w:val="000000"/>
        </w:rPr>
        <w:t>eCube</w:t>
      </w:r>
      <w:proofErr w:type="spellEnd"/>
      <w:r w:rsidR="00EC63F6" w:rsidRPr="001715CC">
        <w:rPr>
          <w:color w:val="000000"/>
        </w:rPr>
        <w:t xml:space="preserve"> collaboration.  In 201</w:t>
      </w:r>
      <w:r w:rsidR="00D90D14" w:rsidRPr="001715CC">
        <w:rPr>
          <w:color w:val="000000"/>
        </w:rPr>
        <w:t>5</w:t>
      </w:r>
      <w:r w:rsidR="00EC63F6" w:rsidRPr="001715CC">
        <w:rPr>
          <w:color w:val="000000"/>
        </w:rPr>
        <w:t xml:space="preserve">, </w:t>
      </w:r>
      <w:r w:rsidRPr="001715CC">
        <w:rPr>
          <w:color w:val="000000"/>
        </w:rPr>
        <w:t xml:space="preserve">a resource allocation </w:t>
      </w:r>
      <w:r w:rsidR="00D90D14" w:rsidRPr="001715CC">
        <w:rPr>
          <w:color w:val="000000"/>
        </w:rPr>
        <w:t>of nearly 1000 CPU-years and 70 GPU-years</w:t>
      </w:r>
      <w:r w:rsidR="00EC63F6" w:rsidRPr="001715CC">
        <w:rPr>
          <w:color w:val="000000"/>
        </w:rPr>
        <w:t xml:space="preserve"> </w:t>
      </w:r>
      <w:r w:rsidRPr="001715CC">
        <w:rPr>
          <w:color w:val="000000"/>
        </w:rPr>
        <w:t xml:space="preserve">from Compute-Canada </w:t>
      </w:r>
      <w:r w:rsidR="00EC63F6" w:rsidRPr="001715CC">
        <w:rPr>
          <w:color w:val="000000"/>
        </w:rPr>
        <w:t>was awarded to support</w:t>
      </w:r>
      <w:r w:rsidRPr="001715CC">
        <w:rPr>
          <w:color w:val="000000"/>
        </w:rPr>
        <w:t xml:space="preserve"> </w:t>
      </w:r>
      <w:proofErr w:type="spellStart"/>
      <w:r w:rsidRPr="001715CC">
        <w:rPr>
          <w:color w:val="000000"/>
        </w:rPr>
        <w:t>IceCube</w:t>
      </w:r>
      <w:proofErr w:type="spellEnd"/>
      <w:r w:rsidR="00EC63F6" w:rsidRPr="001715CC">
        <w:rPr>
          <w:color w:val="000000"/>
        </w:rPr>
        <w:t xml:space="preserve"> activities.  In particular, this allocation </w:t>
      </w:r>
      <w:r w:rsidR="004A3A28" w:rsidRPr="001715CC">
        <w:rPr>
          <w:color w:val="000000"/>
        </w:rPr>
        <w:t>provides</w:t>
      </w:r>
      <w:r w:rsidR="00EC63F6" w:rsidRPr="001715CC">
        <w:rPr>
          <w:color w:val="000000"/>
        </w:rPr>
        <w:t xml:space="preserve"> guaranteed GPU and CPU reso</w:t>
      </w:r>
      <w:r w:rsidR="004A3A28" w:rsidRPr="001715CC">
        <w:rPr>
          <w:color w:val="000000"/>
        </w:rPr>
        <w:t>urces for the collaboration. O</w:t>
      </w:r>
      <w:r w:rsidR="00EC63F6" w:rsidRPr="001715CC">
        <w:rPr>
          <w:color w:val="000000"/>
        </w:rPr>
        <w:t>ur service activit</w:t>
      </w:r>
      <w:r w:rsidR="0004574A" w:rsidRPr="001715CC">
        <w:rPr>
          <w:color w:val="000000"/>
        </w:rPr>
        <w:t>i</w:t>
      </w:r>
      <w:r w:rsidR="00EC63F6" w:rsidRPr="001715CC">
        <w:rPr>
          <w:color w:val="000000"/>
        </w:rPr>
        <w:t>es are</w:t>
      </w:r>
      <w:r w:rsidR="004A3A28" w:rsidRPr="001715CC">
        <w:rPr>
          <w:color w:val="000000"/>
        </w:rPr>
        <w:t xml:space="preserve"> </w:t>
      </w:r>
      <w:proofErr w:type="spellStart"/>
      <w:r w:rsidR="004A3A28" w:rsidRPr="001715CC">
        <w:rPr>
          <w:color w:val="000000"/>
        </w:rPr>
        <w:t>centred</w:t>
      </w:r>
      <w:proofErr w:type="spellEnd"/>
      <w:r w:rsidR="004A3A28" w:rsidRPr="001715CC">
        <w:rPr>
          <w:color w:val="000000"/>
        </w:rPr>
        <w:t xml:space="preserve"> on the simulation production and reconstruction developments with these resources, and calibration efforts.</w:t>
      </w:r>
      <w:r w:rsidR="00801EC1" w:rsidRPr="001715CC">
        <w:rPr>
          <w:color w:val="000000"/>
        </w:rPr>
        <w:t xml:space="preserve">  In 2015, our resource allocation from Compute Canada for </w:t>
      </w:r>
      <w:proofErr w:type="spellStart"/>
      <w:r w:rsidR="00801EC1" w:rsidRPr="001715CC">
        <w:rPr>
          <w:color w:val="000000"/>
        </w:rPr>
        <w:t>IceCube</w:t>
      </w:r>
      <w:proofErr w:type="spellEnd"/>
      <w:r w:rsidR="00801EC1" w:rsidRPr="001715CC">
        <w:rPr>
          <w:color w:val="000000"/>
        </w:rPr>
        <w:t xml:space="preserve"> was doubled from the 2014 values.</w:t>
      </w:r>
      <w:r w:rsidR="00F11966">
        <w:rPr>
          <w:color w:val="000000"/>
        </w:rPr>
        <w:t xml:space="preserve"> </w:t>
      </w:r>
    </w:p>
    <w:p w:rsidR="009C15CA" w:rsidRPr="009C15CA" w:rsidRDefault="009C15CA" w:rsidP="009C15CA">
      <w:pPr>
        <w:spacing w:after="0"/>
        <w:rPr>
          <w:rFonts w:ascii="Times New Roman" w:eastAsia="Calibri" w:hAnsi="Times New Roman"/>
          <w:b/>
        </w:rPr>
      </w:pPr>
      <w:r w:rsidRPr="009C15CA">
        <w:rPr>
          <w:rFonts w:ascii="Times New Roman" w:eastAsia="Calibri" w:hAnsi="Times New Roman"/>
          <w:b/>
        </w:rPr>
        <w:t>Computing Resources</w:t>
      </w:r>
    </w:p>
    <w:p w:rsidR="009C15CA" w:rsidRPr="009C15CA" w:rsidRDefault="009C15CA" w:rsidP="009C15CA">
      <w:pPr>
        <w:spacing w:after="0"/>
        <w:rPr>
          <w:rFonts w:ascii="Times New Roman" w:eastAsia="Calibri" w:hAnsi="Times New Roman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773"/>
        <w:gridCol w:w="1770"/>
        <w:gridCol w:w="1754"/>
        <w:gridCol w:w="1939"/>
      </w:tblGrid>
      <w:tr w:rsidR="009E083F" w:rsidRPr="009C15CA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9C15CA" w:rsidRPr="009C15CA" w:rsidRDefault="009C15CA" w:rsidP="009E083F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2016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9C15CA" w:rsidRPr="009C15CA" w:rsidRDefault="009C15CA" w:rsidP="009E083F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2017</w:t>
            </w:r>
          </w:p>
        </w:tc>
      </w:tr>
      <w:tr w:rsidR="009E083F" w:rsidRPr="009C15CA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770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GPU Cards</w:t>
            </w:r>
            <w:r w:rsidRPr="009E083F">
              <w:rPr>
                <w:rFonts w:ascii="Times New Roman" w:eastAsia="Calibri" w:hAnsi="Times New Roman"/>
                <w:b/>
              </w:rPr>
              <w:t>*</w:t>
            </w:r>
          </w:p>
        </w:tc>
        <w:tc>
          <w:tcPr>
            <w:tcW w:w="1754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939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GPU Cards</w:t>
            </w:r>
            <w:r w:rsidRPr="009E083F">
              <w:rPr>
                <w:rFonts w:ascii="Times New Roman" w:eastAsia="Calibri" w:hAnsi="Times New Roman"/>
                <w:b/>
              </w:rPr>
              <w:t>*, **</w:t>
            </w:r>
          </w:p>
        </w:tc>
      </w:tr>
      <w:tr w:rsidR="009E083F" w:rsidRPr="009E083F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proofErr w:type="spellStart"/>
            <w:r w:rsidRPr="009C15CA">
              <w:rPr>
                <w:rFonts w:ascii="Times New Roman" w:eastAsia="Calibri" w:hAnsi="Times New Roman"/>
                <w:b/>
              </w:rPr>
              <w:t>IceCube</w:t>
            </w:r>
            <w:proofErr w:type="spellEnd"/>
            <w:r w:rsidRPr="009C15CA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9E083F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  <w:rPr>
                <w:rFonts w:ascii="Times New Roman" w:eastAsia="Times New Roman" w:hAnsi="Times New Roman"/>
              </w:rPr>
            </w:pPr>
            <w:r w:rsidRPr="009E083F">
              <w:rPr>
                <w:bCs/>
              </w:rPr>
              <w:t>1054.8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40.57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</w:pPr>
            <w:r w:rsidRPr="009E083F">
              <w:rPr>
                <w:bCs/>
              </w:rPr>
              <w:t>1250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C15CA">
            <w:r w:rsidRPr="009E083F">
              <w:rPr>
                <w:bCs/>
                <w:shd w:val="clear" w:color="auto" w:fill="FFFFFF"/>
              </w:rPr>
              <w:t>164</w:t>
            </w:r>
          </w:p>
        </w:tc>
      </w:tr>
      <w:tr w:rsidR="009E083F" w:rsidRPr="009E083F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>PINGU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9E083F" w:rsidRDefault="009C15CA" w:rsidP="009E083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E083F">
              <w:rPr>
                <w:bCs/>
              </w:rPr>
              <w:t>1336.6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24.25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</w:pPr>
            <w:r w:rsidRPr="009E083F">
              <w:rPr>
                <w:bCs/>
              </w:rPr>
              <w:t>1250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C15CA">
            <w:r w:rsidRPr="009E083F">
              <w:rPr>
                <w:bCs/>
                <w:shd w:val="clear" w:color="auto" w:fill="FFFFFF"/>
              </w:rPr>
              <w:t>82</w:t>
            </w:r>
          </w:p>
        </w:tc>
      </w:tr>
      <w:tr w:rsidR="009E083F" w:rsidRPr="009E083F" w:rsidTr="009E083F">
        <w:tc>
          <w:tcPr>
            <w:tcW w:w="1782" w:type="dxa"/>
            <w:shd w:val="clear" w:color="auto" w:fill="auto"/>
          </w:tcPr>
          <w:p w:rsidR="009C15CA" w:rsidRPr="009C15CA" w:rsidRDefault="009C15CA" w:rsidP="009E083F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9C15CA">
              <w:rPr>
                <w:rFonts w:ascii="Times New Roman" w:eastAsia="Calibri" w:hAnsi="Times New Roman"/>
                <w:b/>
              </w:rPr>
              <w:t xml:space="preserve">Gen2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9E083F" w:rsidRDefault="009C15CA" w:rsidP="009E083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9E083F">
              <w:rPr>
                <w:bCs/>
              </w:rPr>
              <w:t>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hd w:val="clear" w:color="auto" w:fill="FFFFFF"/>
              <w:spacing w:before="100" w:beforeAutospacing="1" w:after="100" w:afterAutospacing="1"/>
              <w:textAlignment w:val="center"/>
            </w:pPr>
            <w:r w:rsidRPr="009E083F">
              <w:rPr>
                <w:bCs/>
              </w:rPr>
              <w:t>288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A" w:rsidRPr="00F11966" w:rsidRDefault="009C15CA" w:rsidP="009E083F">
            <w:pPr>
              <w:spacing w:before="100" w:beforeAutospacing="1" w:after="100" w:afterAutospacing="1"/>
            </w:pPr>
            <w:r w:rsidRPr="009E083F">
              <w:rPr>
                <w:bCs/>
              </w:rPr>
              <w:t>82</w:t>
            </w:r>
          </w:p>
        </w:tc>
      </w:tr>
    </w:tbl>
    <w:p w:rsidR="00F11966" w:rsidRPr="00F11966" w:rsidRDefault="00F11966" w:rsidP="00F11966">
      <w:pPr>
        <w:spacing w:after="0"/>
        <w:rPr>
          <w:rFonts w:ascii="Times New Roman" w:eastAsia="Times New Roman" w:hAnsi="Times New Roman"/>
        </w:rPr>
      </w:pPr>
      <w:r w:rsidRPr="00F11966">
        <w:rPr>
          <w:rFonts w:ascii="Times New Roman" w:eastAsia="Times New Roman" w:hAnsi="Times New Roman"/>
        </w:rPr>
        <w:t xml:space="preserve">*GPUs in nominal </w:t>
      </w:r>
      <w:proofErr w:type="spellStart"/>
      <w:r w:rsidRPr="00F11966">
        <w:rPr>
          <w:rFonts w:ascii="Times New Roman" w:eastAsia="Times New Roman" w:hAnsi="Times New Roman"/>
        </w:rPr>
        <w:t>IceCube</w:t>
      </w:r>
      <w:proofErr w:type="spellEnd"/>
      <w:r w:rsidRPr="00F11966">
        <w:rPr>
          <w:rFonts w:ascii="Times New Roman" w:eastAsia="Times New Roman" w:hAnsi="Times New Roman"/>
        </w:rPr>
        <w:t xml:space="preserve"> units</w:t>
      </w:r>
    </w:p>
    <w:p w:rsidR="00F11966" w:rsidRPr="00F11966" w:rsidRDefault="00A54386" w:rsidP="00F1196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** W</w:t>
      </w:r>
      <w:r w:rsidR="00F11966" w:rsidRPr="00F11966">
        <w:rPr>
          <w:rFonts w:ascii="Times New Roman" w:eastAsia="Times New Roman" w:hAnsi="Times New Roman"/>
        </w:rPr>
        <w:t>e note that Claudio’s CFI proposal for a GPU computing cluster has been successful (announced last month).  We anticipate the cluster coming online late FY2016.</w:t>
      </w:r>
    </w:p>
    <w:p w:rsidR="00F11966" w:rsidRPr="00F11966" w:rsidRDefault="00F11966" w:rsidP="00F11966">
      <w:pPr>
        <w:spacing w:after="0"/>
        <w:rPr>
          <w:rFonts w:ascii="Times New Roman" w:eastAsia="Times New Roman" w:hAnsi="Times New Roman"/>
        </w:rPr>
      </w:pPr>
    </w:p>
    <w:p w:rsidR="009C15CA" w:rsidRPr="001715CC" w:rsidRDefault="009C15CA" w:rsidP="004A3A28">
      <w:pPr>
        <w:ind w:left="-540" w:right="-540"/>
        <w:jc w:val="both"/>
        <w:rPr>
          <w:b/>
          <w:color w:val="000000"/>
        </w:rPr>
      </w:pPr>
    </w:p>
    <w:sectPr w:rsidR="009C15CA" w:rsidRPr="001715CC" w:rsidSect="00A76B09">
      <w:headerReference w:type="default" r:id="rId8"/>
      <w:footerReference w:type="default" r:id="rId9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ED" w:rsidRDefault="006622ED">
      <w:r>
        <w:separator/>
      </w:r>
    </w:p>
  </w:endnote>
  <w:endnote w:type="continuationSeparator" w:id="0">
    <w:p w:rsidR="006622ED" w:rsidRDefault="0066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85" w:rsidRDefault="00DA1185" w:rsidP="00BF080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55B03">
      <w:rPr>
        <w:noProof/>
      </w:rPr>
      <w:t>3</w:t>
    </w:r>
    <w:r>
      <w:rPr>
        <w:noProof/>
      </w:rPr>
      <w:fldChar w:fldCharType="end"/>
    </w:r>
    <w:r>
      <w:t xml:space="preserve"> of </w:t>
    </w:r>
    <w:fldSimple w:instr=" NUMPAGES ">
      <w:r w:rsidR="00E55B03">
        <w:rPr>
          <w:noProof/>
        </w:rPr>
        <w:t>3</w:t>
      </w:r>
    </w:fldSimple>
  </w:p>
  <w:p w:rsidR="00DA1185" w:rsidRDefault="00EE05E7" w:rsidP="00A76B09">
    <w:pPr>
      <w:pStyle w:val="Footer"/>
    </w:pPr>
    <w:fldSimple w:instr=" FILENAME ">
      <w:r w:rsidR="009B6258">
        <w:rPr>
          <w:noProof/>
        </w:rPr>
        <w:t>Alberta_MoU_SOW_2016.0910.docx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ED" w:rsidRDefault="006622ED">
      <w:r>
        <w:separator/>
      </w:r>
    </w:p>
  </w:footnote>
  <w:footnote w:type="continuationSeparator" w:id="0">
    <w:p w:rsidR="006622ED" w:rsidRDefault="0066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85" w:rsidRPr="00997189" w:rsidRDefault="00DA1185" w:rsidP="00514418">
    <w:pPr>
      <w:pStyle w:val="Header"/>
      <w:jc w:val="right"/>
    </w:pPr>
    <w:r>
      <w:t xml:space="preserve">Last updated: </w:t>
    </w:r>
    <w:r w:rsidR="009B6258">
      <w:t>September 10</w:t>
    </w:r>
    <w:r w:rsidR="00681201">
      <w:t>,</w:t>
    </w:r>
    <w:r>
      <w:t xml:space="preserve"> 201</w:t>
    </w:r>
    <w:r w:rsidR="00675D1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28AA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6D"/>
    <w:rsid w:val="00023EAD"/>
    <w:rsid w:val="0004574A"/>
    <w:rsid w:val="00054B5B"/>
    <w:rsid w:val="00056401"/>
    <w:rsid w:val="00084B3C"/>
    <w:rsid w:val="000A0C29"/>
    <w:rsid w:val="000A425A"/>
    <w:rsid w:val="000A6351"/>
    <w:rsid w:val="000B3279"/>
    <w:rsid w:val="000E0C6A"/>
    <w:rsid w:val="000F060F"/>
    <w:rsid w:val="000F41CA"/>
    <w:rsid w:val="000F4599"/>
    <w:rsid w:val="001324A0"/>
    <w:rsid w:val="00134E3A"/>
    <w:rsid w:val="00136E63"/>
    <w:rsid w:val="00164534"/>
    <w:rsid w:val="001715CC"/>
    <w:rsid w:val="001B0BC3"/>
    <w:rsid w:val="001B6613"/>
    <w:rsid w:val="001D7118"/>
    <w:rsid w:val="001F1BC9"/>
    <w:rsid w:val="001F4BAE"/>
    <w:rsid w:val="001F654B"/>
    <w:rsid w:val="0020715B"/>
    <w:rsid w:val="002342A0"/>
    <w:rsid w:val="00265B11"/>
    <w:rsid w:val="00282F00"/>
    <w:rsid w:val="002938F7"/>
    <w:rsid w:val="002B0C2A"/>
    <w:rsid w:val="002B1060"/>
    <w:rsid w:val="002B2B41"/>
    <w:rsid w:val="002E3247"/>
    <w:rsid w:val="003344F8"/>
    <w:rsid w:val="0033526D"/>
    <w:rsid w:val="00344DCC"/>
    <w:rsid w:val="00360D6E"/>
    <w:rsid w:val="0036325B"/>
    <w:rsid w:val="0036538E"/>
    <w:rsid w:val="0036745A"/>
    <w:rsid w:val="00380111"/>
    <w:rsid w:val="00383D6F"/>
    <w:rsid w:val="0039732F"/>
    <w:rsid w:val="003C3054"/>
    <w:rsid w:val="003D1745"/>
    <w:rsid w:val="003D38B6"/>
    <w:rsid w:val="003E6A10"/>
    <w:rsid w:val="003F172E"/>
    <w:rsid w:val="004036F5"/>
    <w:rsid w:val="00423DA0"/>
    <w:rsid w:val="00453993"/>
    <w:rsid w:val="00460BE0"/>
    <w:rsid w:val="0047712B"/>
    <w:rsid w:val="004860C4"/>
    <w:rsid w:val="004A3A28"/>
    <w:rsid w:val="004A73FE"/>
    <w:rsid w:val="004B3CFC"/>
    <w:rsid w:val="004B7249"/>
    <w:rsid w:val="004E5162"/>
    <w:rsid w:val="004E57AD"/>
    <w:rsid w:val="004F5C1C"/>
    <w:rsid w:val="00503636"/>
    <w:rsid w:val="00514418"/>
    <w:rsid w:val="00516E66"/>
    <w:rsid w:val="00521A11"/>
    <w:rsid w:val="00522DCC"/>
    <w:rsid w:val="00551E2B"/>
    <w:rsid w:val="0059335A"/>
    <w:rsid w:val="0059465F"/>
    <w:rsid w:val="0059522A"/>
    <w:rsid w:val="005959EB"/>
    <w:rsid w:val="005A2E8B"/>
    <w:rsid w:val="005E09D5"/>
    <w:rsid w:val="005E20F9"/>
    <w:rsid w:val="005F0E04"/>
    <w:rsid w:val="005F4B95"/>
    <w:rsid w:val="00615AD2"/>
    <w:rsid w:val="00626C93"/>
    <w:rsid w:val="006622ED"/>
    <w:rsid w:val="00675D16"/>
    <w:rsid w:val="00681201"/>
    <w:rsid w:val="006B21FE"/>
    <w:rsid w:val="006B7196"/>
    <w:rsid w:val="006E0C8C"/>
    <w:rsid w:val="006E2974"/>
    <w:rsid w:val="006E29E0"/>
    <w:rsid w:val="006E33AD"/>
    <w:rsid w:val="006F1650"/>
    <w:rsid w:val="006F2C05"/>
    <w:rsid w:val="006F76C6"/>
    <w:rsid w:val="006F78B7"/>
    <w:rsid w:val="007056D5"/>
    <w:rsid w:val="00725200"/>
    <w:rsid w:val="007261F6"/>
    <w:rsid w:val="007321CF"/>
    <w:rsid w:val="00734656"/>
    <w:rsid w:val="00785ED0"/>
    <w:rsid w:val="007A54F9"/>
    <w:rsid w:val="007A733F"/>
    <w:rsid w:val="007A79AB"/>
    <w:rsid w:val="007A7A4E"/>
    <w:rsid w:val="007B5F26"/>
    <w:rsid w:val="007C4C9C"/>
    <w:rsid w:val="007C525B"/>
    <w:rsid w:val="007E3830"/>
    <w:rsid w:val="007E3E29"/>
    <w:rsid w:val="007E3EE2"/>
    <w:rsid w:val="007E683F"/>
    <w:rsid w:val="00801EC1"/>
    <w:rsid w:val="00805C4A"/>
    <w:rsid w:val="0081467A"/>
    <w:rsid w:val="00816485"/>
    <w:rsid w:val="00830461"/>
    <w:rsid w:val="008444F0"/>
    <w:rsid w:val="00897311"/>
    <w:rsid w:val="008A1D2D"/>
    <w:rsid w:val="008B1391"/>
    <w:rsid w:val="008B70D9"/>
    <w:rsid w:val="008C41B0"/>
    <w:rsid w:val="008D613B"/>
    <w:rsid w:val="008E4E85"/>
    <w:rsid w:val="008F15CF"/>
    <w:rsid w:val="00902A2F"/>
    <w:rsid w:val="00904CC0"/>
    <w:rsid w:val="0090731E"/>
    <w:rsid w:val="00907749"/>
    <w:rsid w:val="00915B1E"/>
    <w:rsid w:val="009504B1"/>
    <w:rsid w:val="00952054"/>
    <w:rsid w:val="00974E51"/>
    <w:rsid w:val="00997189"/>
    <w:rsid w:val="009B0906"/>
    <w:rsid w:val="009B6258"/>
    <w:rsid w:val="009C15CA"/>
    <w:rsid w:val="009D04FC"/>
    <w:rsid w:val="009E083F"/>
    <w:rsid w:val="009F6CA2"/>
    <w:rsid w:val="00A07671"/>
    <w:rsid w:val="00A30BD1"/>
    <w:rsid w:val="00A34A59"/>
    <w:rsid w:val="00A4123A"/>
    <w:rsid w:val="00A41829"/>
    <w:rsid w:val="00A43D22"/>
    <w:rsid w:val="00A475BF"/>
    <w:rsid w:val="00A54386"/>
    <w:rsid w:val="00A5517D"/>
    <w:rsid w:val="00A71403"/>
    <w:rsid w:val="00A76B09"/>
    <w:rsid w:val="00A77538"/>
    <w:rsid w:val="00A81BE4"/>
    <w:rsid w:val="00A856CA"/>
    <w:rsid w:val="00A868DA"/>
    <w:rsid w:val="00A95E0E"/>
    <w:rsid w:val="00AA03A1"/>
    <w:rsid w:val="00AD4F99"/>
    <w:rsid w:val="00AE67F9"/>
    <w:rsid w:val="00AF70E0"/>
    <w:rsid w:val="00B045DD"/>
    <w:rsid w:val="00B208DB"/>
    <w:rsid w:val="00B47FEF"/>
    <w:rsid w:val="00B5582B"/>
    <w:rsid w:val="00B72F0D"/>
    <w:rsid w:val="00B75421"/>
    <w:rsid w:val="00B863ED"/>
    <w:rsid w:val="00B92008"/>
    <w:rsid w:val="00B93030"/>
    <w:rsid w:val="00B96574"/>
    <w:rsid w:val="00BA0922"/>
    <w:rsid w:val="00BB054E"/>
    <w:rsid w:val="00BC487D"/>
    <w:rsid w:val="00BF0803"/>
    <w:rsid w:val="00C036B2"/>
    <w:rsid w:val="00C10FE0"/>
    <w:rsid w:val="00C1671E"/>
    <w:rsid w:val="00C1773A"/>
    <w:rsid w:val="00C23837"/>
    <w:rsid w:val="00C2747D"/>
    <w:rsid w:val="00C40618"/>
    <w:rsid w:val="00C465E0"/>
    <w:rsid w:val="00C51511"/>
    <w:rsid w:val="00C53CEA"/>
    <w:rsid w:val="00C64472"/>
    <w:rsid w:val="00CB5F2D"/>
    <w:rsid w:val="00CD0D96"/>
    <w:rsid w:val="00CE1A1F"/>
    <w:rsid w:val="00CF1A87"/>
    <w:rsid w:val="00D04C6D"/>
    <w:rsid w:val="00D23891"/>
    <w:rsid w:val="00D3224B"/>
    <w:rsid w:val="00D343C8"/>
    <w:rsid w:val="00D45DD1"/>
    <w:rsid w:val="00D54C79"/>
    <w:rsid w:val="00D7328A"/>
    <w:rsid w:val="00D90D14"/>
    <w:rsid w:val="00D93081"/>
    <w:rsid w:val="00D9347B"/>
    <w:rsid w:val="00DA1185"/>
    <w:rsid w:val="00DE4F9B"/>
    <w:rsid w:val="00E04B2A"/>
    <w:rsid w:val="00E1042A"/>
    <w:rsid w:val="00E23F39"/>
    <w:rsid w:val="00E45E1A"/>
    <w:rsid w:val="00E464DA"/>
    <w:rsid w:val="00E55B03"/>
    <w:rsid w:val="00E64C68"/>
    <w:rsid w:val="00E6768D"/>
    <w:rsid w:val="00E745C9"/>
    <w:rsid w:val="00EA1905"/>
    <w:rsid w:val="00EB743E"/>
    <w:rsid w:val="00EC2AF6"/>
    <w:rsid w:val="00EC63F6"/>
    <w:rsid w:val="00EE05E7"/>
    <w:rsid w:val="00EE064D"/>
    <w:rsid w:val="00EE39E6"/>
    <w:rsid w:val="00F11966"/>
    <w:rsid w:val="00F12A92"/>
    <w:rsid w:val="00F2782B"/>
    <w:rsid w:val="00F94C92"/>
    <w:rsid w:val="00FB7EB4"/>
    <w:rsid w:val="00FC10AF"/>
    <w:rsid w:val="00FD237E"/>
    <w:rsid w:val="00FE23EB"/>
    <w:rsid w:val="00FE4C09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85CD8-7EAF-4159-8E3F-177C9EE3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E3E2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E3E29"/>
    <w:rPr>
      <w:rFonts w:ascii="Lucida Grande" w:eastAsia="Cambria" w:hAnsi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15CA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C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87A232-C0DF-4D15-8635-33B422BD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Brendan Fox</dc:creator>
  <cp:keywords/>
  <cp:lastModifiedBy>Catherine Vakhnina</cp:lastModifiedBy>
  <cp:revision>12</cp:revision>
  <cp:lastPrinted>2011-04-26T13:50:00Z</cp:lastPrinted>
  <dcterms:created xsi:type="dcterms:W3CDTF">2016-04-12T01:10:00Z</dcterms:created>
  <dcterms:modified xsi:type="dcterms:W3CDTF">2016-09-26T00:17:00Z</dcterms:modified>
</cp:coreProperties>
</file>