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17543C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17543C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17543C">
        <w:rPr>
          <w:rFonts w:ascii="Times New Roman" w:hAnsi="Times New Roman"/>
          <w:b/>
          <w:iCs/>
          <w:u w:val="single"/>
        </w:rPr>
        <w:t>Of</w:t>
      </w:r>
      <w:proofErr w:type="gramEnd"/>
      <w:r w:rsidRPr="0017543C">
        <w:rPr>
          <w:rFonts w:ascii="Times New Roman" w:hAnsi="Times New Roman"/>
          <w:b/>
          <w:iCs/>
          <w:u w:val="single"/>
        </w:rPr>
        <w:t xml:space="preserve">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17543C">
        <w:rPr>
          <w:rFonts w:ascii="Times New Roman" w:hAnsi="Times New Roman"/>
          <w:b/>
          <w:iCs/>
          <w:u w:val="single"/>
        </w:rPr>
        <w:t>Scope of Work</w:t>
      </w:r>
    </w:p>
    <w:p w:rsidR="00805F71" w:rsidRPr="0017543C" w:rsidRDefault="003808E6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9525" t="7620" r="9525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3" w:rsidRPr="00CF1A87" w:rsidRDefault="00461FD1" w:rsidP="00461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461FD1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 w:rsidRPr="00461FD1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461FD1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California</w:t>
                                </w:r>
                              </w:smartTag>
                            </w:smartTag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, Berkeley</w:t>
                            </w:r>
                          </w:p>
                          <w:p w:rsidR="00773B63" w:rsidRDefault="00461FD1" w:rsidP="00461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Buford Price</w:t>
                            </w:r>
                          </w:p>
                          <w:p w:rsidR="00773B63" w:rsidRPr="00E56483" w:rsidRDefault="00773B63" w:rsidP="0019633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556040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461FD1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196335" w:rsidRPr="0019633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773B63" w:rsidRPr="00CF1A87" w:rsidRDefault="00461FD1" w:rsidP="00461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461FD1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461FD1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461FD1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California</w:t>
                          </w:r>
                        </w:smartTag>
                      </w:smartTag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, Berkeley</w:t>
                      </w:r>
                    </w:p>
                    <w:p w:rsidR="00773B63" w:rsidRDefault="00461FD1" w:rsidP="00461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Buford Price</w:t>
                      </w:r>
                    </w:p>
                    <w:p w:rsidR="00773B63" w:rsidRPr="00E56483" w:rsidRDefault="00773B63" w:rsidP="00196335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461FD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556040">
                        <w:rPr>
                          <w:rFonts w:ascii="Times New Roman" w:eastAsia="Times New Roman" w:hAnsi="Times New Roman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461FD1">
                        <w:rPr>
                          <w:rFonts w:ascii="Times New Roman" w:eastAsia="Times New Roman" w:hAnsi="Times New Roman"/>
                        </w:rPr>
                        <w:t>2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196335" w:rsidRPr="00196335">
                        <w:rPr>
                          <w:rFonts w:ascii="Times New Roman" w:eastAsia="Times New Roman" w:hAnsi="Times New Roman"/>
                          <w:color w:val="FF0000"/>
                        </w:rPr>
                        <w:t>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461FD1" w:rsidRPr="0017543C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461FD1" w:rsidRPr="0017543C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Election</w:t>
            </w:r>
            <w:r w:rsidR="00461FD1"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461FD1"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Comm</w:t>
            </w:r>
            <w:proofErr w:type="spellEnd"/>
            <w:r w:rsidR="00461FD1"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17543C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17543C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8D37CF"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17543C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D37CF"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Speakers </w:t>
            </w:r>
            <w:proofErr w:type="spellStart"/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95DD6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95DD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Properties 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95DD6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95DD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Oscillations </w:t>
            </w:r>
            <w:r w:rsidR="000F15C9" w:rsidRPr="00A95DD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WG chair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D37CF"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C4C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DC4C1E" w:rsidRPr="00DC4C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67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17543C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17543C" w:rsidRDefault="00461FD1" w:rsidP="0019633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1963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72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Pr="00DC4C1E" w:rsidRDefault="00DC4C1E" w:rsidP="00DC4C1E">
      <w:pPr>
        <w:spacing w:after="120"/>
        <w:ind w:left="-720"/>
        <w:rPr>
          <w:rFonts w:ascii="Times New Roman" w:hAnsi="Times New Roman"/>
          <w:b/>
          <w:bCs/>
          <w:color w:val="FF0000"/>
          <w:sz w:val="22"/>
        </w:rPr>
      </w:pPr>
      <w:bookmarkStart w:id="0" w:name="_GoBack"/>
      <w:r w:rsidRPr="00DC4C1E">
        <w:rPr>
          <w:rFonts w:ascii="Times New Roman" w:hAnsi="Times New Roman"/>
          <w:b/>
          <w:bCs/>
          <w:color w:val="FF0000"/>
          <w:sz w:val="22"/>
        </w:rPr>
        <w:t>Additional planned contribution</w:t>
      </w:r>
    </w:p>
    <w:tbl>
      <w:tblPr>
        <w:tblW w:w="105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0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DC4C1E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:rsidR="00DC4C1E" w:rsidRPr="0017543C" w:rsidRDefault="00DC4C1E" w:rsidP="00E45E6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C4C1E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196335" w:rsidRDefault="00196335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:rsidR="00461FD1" w:rsidRPr="0017543C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lastRenderedPageBreak/>
        <w:t>Summary:</w:t>
      </w:r>
    </w:p>
    <w:p w:rsidR="009615E3" w:rsidRDefault="00461FD1" w:rsidP="00461FD1">
      <w:pPr>
        <w:ind w:right="-600"/>
        <w:jc w:val="both"/>
        <w:rPr>
          <w:sz w:val="22"/>
        </w:rPr>
      </w:pPr>
      <w:r w:rsidRPr="0017543C">
        <w:rPr>
          <w:sz w:val="22"/>
        </w:rPr>
        <w:t>The UC Berkeley group aims at maki</w:t>
      </w:r>
      <w:r w:rsidR="009615E3">
        <w:rPr>
          <w:sz w:val="22"/>
        </w:rPr>
        <w:t xml:space="preserve">ng decisive contributions in </w:t>
      </w:r>
      <w:r w:rsidR="009615E3" w:rsidRPr="00A95DD6">
        <w:rPr>
          <w:color w:val="FF0000"/>
          <w:sz w:val="22"/>
        </w:rPr>
        <w:t>three</w:t>
      </w:r>
      <w:r w:rsidRPr="0017543C">
        <w:rPr>
          <w:sz w:val="22"/>
        </w:rPr>
        <w:t xml:space="preserve"> principal areas of analysis: searches for a neutrino signal from objects kn</w:t>
      </w:r>
      <w:r w:rsidR="009615E3">
        <w:rPr>
          <w:sz w:val="22"/>
        </w:rPr>
        <w:t xml:space="preserve">own in both space and time, </w:t>
      </w:r>
      <w:r w:rsidRPr="0017543C">
        <w:rPr>
          <w:sz w:val="22"/>
        </w:rPr>
        <w:t>search</w:t>
      </w:r>
      <w:r w:rsidR="00617DB1">
        <w:rPr>
          <w:sz w:val="22"/>
        </w:rPr>
        <w:t>es</w:t>
      </w:r>
      <w:r w:rsidRPr="0017543C">
        <w:rPr>
          <w:sz w:val="22"/>
        </w:rPr>
        <w:t xml:space="preserve"> for a diffuse neutrino flux from unresolved sources</w:t>
      </w:r>
      <w:r w:rsidR="009615E3">
        <w:rPr>
          <w:sz w:val="22"/>
        </w:rPr>
        <w:t xml:space="preserve">, </w:t>
      </w:r>
      <w:r w:rsidR="009615E3" w:rsidRPr="00A95DD6">
        <w:rPr>
          <w:color w:val="FF0000"/>
          <w:sz w:val="22"/>
        </w:rPr>
        <w:t>and measurements of atmospheric neutrino oscillations</w:t>
      </w:r>
      <w:r w:rsidRPr="0017543C">
        <w:rPr>
          <w:sz w:val="22"/>
        </w:rPr>
        <w:t>. We will pursue the search for neutrinos coincident with core-collapse supernova explosions, and use very high-energy neutrinos from GRBs to search for Lorentz-invariance violation</w:t>
      </w:r>
      <w:r w:rsidR="00617DB1">
        <w:rPr>
          <w:sz w:val="22"/>
        </w:rPr>
        <w:t xml:space="preserve"> (LIV)</w:t>
      </w:r>
      <w:r w:rsidRPr="0017543C">
        <w:rPr>
          <w:sz w:val="22"/>
        </w:rPr>
        <w:t xml:space="preserve">. </w:t>
      </w:r>
      <w:r w:rsidR="004754BF" w:rsidRPr="00A95DD6">
        <w:rPr>
          <w:color w:val="FF0000"/>
          <w:sz w:val="22"/>
        </w:rPr>
        <w:t>We will</w:t>
      </w:r>
      <w:r w:rsidR="00852594" w:rsidRPr="00A95DD6">
        <w:rPr>
          <w:color w:val="FF0000"/>
          <w:sz w:val="22"/>
        </w:rPr>
        <w:t xml:space="preserve"> analyze energies and arrival directions of</w:t>
      </w:r>
      <w:r w:rsidR="004754BF" w:rsidRPr="00A95DD6">
        <w:rPr>
          <w:color w:val="FF0000"/>
          <w:sz w:val="22"/>
        </w:rPr>
        <w:t xml:space="preserve"> atmospheric </w:t>
      </w:r>
      <w:proofErr w:type="spellStart"/>
      <w:r w:rsidR="004754BF" w:rsidRPr="00A95DD6">
        <w:rPr>
          <w:color w:val="FF0000"/>
          <w:sz w:val="22"/>
        </w:rPr>
        <w:t>muon</w:t>
      </w:r>
      <w:proofErr w:type="spellEnd"/>
      <w:r w:rsidR="004754BF" w:rsidRPr="00A95DD6">
        <w:rPr>
          <w:color w:val="FF0000"/>
          <w:sz w:val="22"/>
        </w:rPr>
        <w:t xml:space="preserve"> neutrinos to set limits on LIV parameters</w:t>
      </w:r>
      <w:r w:rsidR="00617DB1">
        <w:rPr>
          <w:sz w:val="22"/>
        </w:rPr>
        <w:t xml:space="preserve">. </w:t>
      </w:r>
      <w:r w:rsidRPr="0017543C">
        <w:rPr>
          <w:sz w:val="22"/>
        </w:rPr>
        <w:t>In the diffuse analysis our work is focused on understanding/mitigating detector and simulation systematics to the high level required for an unambiguous detection of an astrophysical neutrino flux</w:t>
      </w:r>
      <w:r w:rsidR="00852594">
        <w:rPr>
          <w:sz w:val="22"/>
        </w:rPr>
        <w:t xml:space="preserve"> </w:t>
      </w:r>
      <w:r w:rsidR="00852594" w:rsidRPr="00A95DD6">
        <w:rPr>
          <w:color w:val="FF0000"/>
          <w:sz w:val="22"/>
        </w:rPr>
        <w:t>and for high-precision oscillation measurements</w:t>
      </w:r>
      <w:r w:rsidRPr="0017543C">
        <w:rPr>
          <w:sz w:val="22"/>
        </w:rPr>
        <w:t xml:space="preserve">. A major part of this is measurement of ice properties and simulation of photon propagation. Our service work is focused on calibration (low and high level) and detector monitoring. </w:t>
      </w:r>
    </w:p>
    <w:p w:rsidR="00461FD1" w:rsidRPr="0017543C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t>Faculty:</w:t>
      </w:r>
    </w:p>
    <w:p w:rsidR="00461FD1" w:rsidRPr="0017543C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Buford Price - </w:t>
      </w:r>
      <w:r w:rsidR="000E6941">
        <w:rPr>
          <w:rFonts w:ascii="Times New Roman" w:hAnsi="Times New Roman"/>
          <w:sz w:val="22"/>
        </w:rPr>
        <w:tab/>
      </w:r>
      <w:r w:rsidR="000E6941">
        <w:rPr>
          <w:rFonts w:ascii="Times New Roman" w:hAnsi="Times New Roman"/>
          <w:sz w:val="22"/>
        </w:rPr>
        <w:tab/>
      </w:r>
      <w:r w:rsidR="000B199D" w:rsidRPr="0017543C">
        <w:rPr>
          <w:rFonts w:ascii="Times New Roman" w:hAnsi="Times New Roman"/>
          <w:sz w:val="22"/>
        </w:rPr>
        <w:t>Electio</w:t>
      </w:r>
      <w:r w:rsidR="00852594">
        <w:rPr>
          <w:rFonts w:ascii="Times New Roman" w:hAnsi="Times New Roman"/>
          <w:sz w:val="22"/>
        </w:rPr>
        <w:t>n Committee</w:t>
      </w:r>
    </w:p>
    <w:p w:rsidR="00461FD1" w:rsidRPr="0017543C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754BF" w:rsidRDefault="00461FD1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>Kur</w:t>
      </w:r>
      <w:r w:rsidR="004754BF">
        <w:rPr>
          <w:rFonts w:ascii="Times New Roman" w:hAnsi="Times New Roman"/>
          <w:sz w:val="22"/>
        </w:rPr>
        <w:t xml:space="preserve">t </w:t>
      </w:r>
      <w:proofErr w:type="spellStart"/>
      <w:r w:rsidR="004754BF">
        <w:rPr>
          <w:rFonts w:ascii="Times New Roman" w:hAnsi="Times New Roman"/>
          <w:sz w:val="22"/>
        </w:rPr>
        <w:t>Woschnagg</w:t>
      </w:r>
      <w:proofErr w:type="spellEnd"/>
      <w:r w:rsidR="004754BF">
        <w:rPr>
          <w:rFonts w:ascii="Times New Roman" w:hAnsi="Times New Roman"/>
          <w:sz w:val="22"/>
        </w:rPr>
        <w:t xml:space="preserve"> -</w:t>
      </w:r>
      <w:r w:rsidR="004754BF">
        <w:rPr>
          <w:rFonts w:ascii="Times New Roman" w:hAnsi="Times New Roman"/>
          <w:sz w:val="22"/>
        </w:rPr>
        <w:tab/>
      </w:r>
      <w:r w:rsidR="009615E3" w:rsidRPr="00A95DD6">
        <w:rPr>
          <w:rFonts w:ascii="Times New Roman" w:hAnsi="Times New Roman"/>
          <w:color w:val="FF0000"/>
          <w:sz w:val="22"/>
        </w:rPr>
        <w:t>group lead</w:t>
      </w:r>
      <w:r w:rsidR="009615E3">
        <w:rPr>
          <w:rFonts w:ascii="Times New Roman" w:hAnsi="Times New Roman"/>
          <w:sz w:val="22"/>
        </w:rPr>
        <w:t xml:space="preserve">, </w:t>
      </w:r>
      <w:r w:rsidR="00617DB1" w:rsidRPr="00A95DD6">
        <w:rPr>
          <w:rFonts w:ascii="Times New Roman" w:hAnsi="Times New Roman"/>
          <w:color w:val="FF0000"/>
          <w:sz w:val="22"/>
        </w:rPr>
        <w:t>oscillations working group co-lead</w:t>
      </w:r>
      <w:r w:rsidR="00617DB1">
        <w:rPr>
          <w:rFonts w:ascii="Times New Roman" w:hAnsi="Times New Roman"/>
          <w:sz w:val="22"/>
        </w:rPr>
        <w:t xml:space="preserve">, </w:t>
      </w:r>
      <w:r w:rsidRPr="0017543C">
        <w:rPr>
          <w:rFonts w:ascii="Times New Roman" w:hAnsi="Times New Roman"/>
          <w:sz w:val="22"/>
        </w:rPr>
        <w:t xml:space="preserve">ice properties, </w:t>
      </w:r>
    </w:p>
    <w:p w:rsidR="00461FD1" w:rsidRDefault="004754BF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Speakers C</w:t>
      </w:r>
      <w:r w:rsidR="00461FD1" w:rsidRPr="0017543C">
        <w:rPr>
          <w:rFonts w:ascii="Times New Roman" w:hAnsi="Times New Roman"/>
          <w:sz w:val="22"/>
        </w:rPr>
        <w:t>omm</w:t>
      </w:r>
      <w:r w:rsidR="002F7847" w:rsidRPr="0017543C">
        <w:rPr>
          <w:rFonts w:ascii="Times New Roman" w:hAnsi="Times New Roman"/>
          <w:sz w:val="22"/>
        </w:rPr>
        <w:t>ittee</w:t>
      </w:r>
      <w:r w:rsidR="009615E3">
        <w:rPr>
          <w:rFonts w:ascii="Times New Roman" w:hAnsi="Times New Roman"/>
          <w:sz w:val="22"/>
        </w:rPr>
        <w:t xml:space="preserve">, </w:t>
      </w:r>
      <w:r w:rsidR="009615E3" w:rsidRPr="00A95DD6">
        <w:rPr>
          <w:rFonts w:ascii="Times New Roman" w:hAnsi="Times New Roman"/>
          <w:color w:val="FF0000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oscillations, d</w:t>
      </w:r>
      <w:r w:rsidR="0017543C" w:rsidRPr="00D90697">
        <w:rPr>
          <w:rFonts w:ascii="Times New Roman" w:hAnsi="Times New Roman"/>
          <w:color w:val="0070C0"/>
          <w:sz w:val="22"/>
        </w:rPr>
        <w:t>iffuse analysis, systematics</w:t>
      </w:r>
    </w:p>
    <w:p w:rsidR="00461FD1" w:rsidRDefault="00461FD1" w:rsidP="002F7847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Kirill </w:t>
      </w:r>
      <w:proofErr w:type="spellStart"/>
      <w:r w:rsidRPr="0017543C">
        <w:rPr>
          <w:rFonts w:ascii="Times New Roman" w:hAnsi="Times New Roman"/>
          <w:sz w:val="22"/>
        </w:rPr>
        <w:t>Filimonov</w:t>
      </w:r>
      <w:proofErr w:type="spellEnd"/>
      <w:r w:rsidRPr="0017543C">
        <w:rPr>
          <w:rFonts w:ascii="Times New Roman" w:hAnsi="Times New Roman"/>
          <w:sz w:val="22"/>
        </w:rPr>
        <w:t xml:space="preserve"> - </w:t>
      </w:r>
      <w:r w:rsidR="004754BF">
        <w:rPr>
          <w:rFonts w:ascii="Times New Roman" w:hAnsi="Times New Roman"/>
          <w:sz w:val="22"/>
        </w:rPr>
        <w:tab/>
      </w:r>
      <w:r w:rsidRPr="0017543C">
        <w:rPr>
          <w:rFonts w:ascii="Times New Roman" w:hAnsi="Times New Roman"/>
          <w:sz w:val="22"/>
        </w:rPr>
        <w:t>detector monitoring framework and coordination,</w:t>
      </w:r>
      <w:r w:rsidR="00090C24" w:rsidRPr="0017543C">
        <w:rPr>
          <w:rFonts w:ascii="Times New Roman" w:hAnsi="Times New Roman"/>
          <w:sz w:val="22"/>
        </w:rPr>
        <w:t xml:space="preserve"> </w:t>
      </w:r>
      <w:proofErr w:type="spellStart"/>
      <w:r w:rsidR="00090C24" w:rsidRPr="0017543C">
        <w:rPr>
          <w:rFonts w:ascii="Times New Roman" w:hAnsi="Times New Roman"/>
          <w:sz w:val="22"/>
        </w:rPr>
        <w:t>Pubcom</w:t>
      </w:r>
      <w:proofErr w:type="spellEnd"/>
      <w:r w:rsidR="00090C24" w:rsidRPr="0017543C">
        <w:rPr>
          <w:rFonts w:ascii="Times New Roman" w:hAnsi="Times New Roman"/>
          <w:sz w:val="22"/>
        </w:rPr>
        <w:t xml:space="preserve"> member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852594" w:rsidRPr="00D90697">
        <w:rPr>
          <w:rFonts w:ascii="Times New Roman" w:hAnsi="Times New Roman"/>
          <w:color w:val="0070C0"/>
          <w:sz w:val="22"/>
        </w:rPr>
        <w:t>GRB, cascades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p w:rsidR="000E6941" w:rsidRPr="000E6941" w:rsidRDefault="000E6941" w:rsidP="00196335">
      <w:pPr>
        <w:tabs>
          <w:tab w:val="left" w:pos="540"/>
        </w:tabs>
        <w:ind w:right="-60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ab/>
      </w:r>
      <w:r w:rsidR="00196335" w:rsidRPr="00196335">
        <w:rPr>
          <w:rFonts w:ascii="Times New Roman" w:hAnsi="Times New Roman"/>
          <w:color w:val="FF0000"/>
          <w:sz w:val="22"/>
        </w:rPr>
        <w:t>TBD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 w:rsidRPr="000E6941">
        <w:rPr>
          <w:rFonts w:ascii="Times New Roman" w:hAnsi="Times New Roman"/>
          <w:bCs/>
          <w:sz w:val="22"/>
        </w:rPr>
        <w:t>monitoring, calibration</w:t>
      </w:r>
    </w:p>
    <w:p w:rsidR="00461FD1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</w:t>
      </w:r>
      <w:r w:rsidR="00461FD1" w:rsidRPr="00D90697">
        <w:rPr>
          <w:rFonts w:ascii="Times New Roman" w:hAnsi="Times New Roman"/>
          <w:color w:val="0070C0"/>
          <w:sz w:val="22"/>
        </w:rPr>
        <w:t>, systematics</w:t>
      </w: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17543C" w:rsidSect="00461FD1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18" w:rsidRDefault="00333118">
      <w:r>
        <w:separator/>
      </w:r>
    </w:p>
  </w:endnote>
  <w:endnote w:type="continuationSeparator" w:id="0">
    <w:p w:rsidR="00333118" w:rsidRDefault="0033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B35AFE">
      <w:fldChar w:fldCharType="begin"/>
    </w:r>
    <w:r w:rsidR="007614B8">
      <w:instrText xml:space="preserve"> PAGE </w:instrText>
    </w:r>
    <w:r w:rsidR="00B35AFE">
      <w:fldChar w:fldCharType="separate"/>
    </w:r>
    <w:r w:rsidR="006356D2">
      <w:rPr>
        <w:noProof/>
      </w:rPr>
      <w:t>1</w:t>
    </w:r>
    <w:r w:rsidR="00B35AFE">
      <w:rPr>
        <w:noProof/>
      </w:rPr>
      <w:fldChar w:fldCharType="end"/>
    </w:r>
    <w:r>
      <w:t xml:space="preserve"> of </w:t>
    </w:r>
    <w:r w:rsidR="00B35AFE">
      <w:fldChar w:fldCharType="begin"/>
    </w:r>
    <w:r w:rsidR="007614B8">
      <w:instrText xml:space="preserve"> NUMPAGES </w:instrText>
    </w:r>
    <w:r w:rsidR="00B35AFE">
      <w:fldChar w:fldCharType="separate"/>
    </w:r>
    <w:r w:rsidR="006356D2">
      <w:rPr>
        <w:noProof/>
      </w:rPr>
      <w:t>2</w:t>
    </w:r>
    <w:r w:rsidR="00B35AFE">
      <w:rPr>
        <w:noProof/>
      </w:rPr>
      <w:fldChar w:fldCharType="end"/>
    </w:r>
  </w:p>
  <w:p w:rsidR="00773B63" w:rsidRDefault="00B35AFE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D90697">
      <w:rPr>
        <w:noProof/>
      </w:rPr>
      <w:t>UC-Berkeley_MoU_SOW_2012.1001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18" w:rsidRDefault="00333118">
      <w:r>
        <w:separator/>
      </w:r>
    </w:p>
  </w:footnote>
  <w:footnote w:type="continuationSeparator" w:id="0">
    <w:p w:rsidR="00333118" w:rsidRDefault="0033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D90697">
    <w:pPr>
      <w:pStyle w:val="Header"/>
      <w:jc w:val="right"/>
    </w:pPr>
    <w:r>
      <w:t xml:space="preserve">Last updated: </w:t>
    </w:r>
    <w:r w:rsidR="00D90697">
      <w:t>October 1</w:t>
    </w:r>
    <w:r w:rsidR="008D37CF">
      <w:t>,</w:t>
    </w:r>
    <w:r w:rsidR="000F15C9">
      <w:t xml:space="preserve"> </w:t>
    </w:r>
    <w:r w:rsidR="008D37CF">
      <w:t>201</w:t>
    </w:r>
    <w:r w:rsidR="002E0F0E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24"/>
    <w:rsid w:val="00034693"/>
    <w:rsid w:val="000518DC"/>
    <w:rsid w:val="000535D8"/>
    <w:rsid w:val="00073B38"/>
    <w:rsid w:val="000770F6"/>
    <w:rsid w:val="00090C24"/>
    <w:rsid w:val="00092078"/>
    <w:rsid w:val="000B199D"/>
    <w:rsid w:val="000E6941"/>
    <w:rsid w:val="000F15C9"/>
    <w:rsid w:val="001546C3"/>
    <w:rsid w:val="00166BFA"/>
    <w:rsid w:val="0017543C"/>
    <w:rsid w:val="00196335"/>
    <w:rsid w:val="001C307F"/>
    <w:rsid w:val="00215F77"/>
    <w:rsid w:val="00241243"/>
    <w:rsid w:val="00284E08"/>
    <w:rsid w:val="002E0F0E"/>
    <w:rsid w:val="002F7847"/>
    <w:rsid w:val="0030411E"/>
    <w:rsid w:val="00333118"/>
    <w:rsid w:val="003808E6"/>
    <w:rsid w:val="00383127"/>
    <w:rsid w:val="003C4E29"/>
    <w:rsid w:val="003F44AF"/>
    <w:rsid w:val="0045365E"/>
    <w:rsid w:val="004565A7"/>
    <w:rsid w:val="00461FD1"/>
    <w:rsid w:val="004754BF"/>
    <w:rsid w:val="004C3788"/>
    <w:rsid w:val="004F6219"/>
    <w:rsid w:val="00502AAB"/>
    <w:rsid w:val="00530738"/>
    <w:rsid w:val="00556040"/>
    <w:rsid w:val="00617DB1"/>
    <w:rsid w:val="00622ACD"/>
    <w:rsid w:val="006356D2"/>
    <w:rsid w:val="00670B16"/>
    <w:rsid w:val="006D3F61"/>
    <w:rsid w:val="006E5133"/>
    <w:rsid w:val="00735796"/>
    <w:rsid w:val="00740F84"/>
    <w:rsid w:val="007614B8"/>
    <w:rsid w:val="00773B63"/>
    <w:rsid w:val="00782A5A"/>
    <w:rsid w:val="007A6656"/>
    <w:rsid w:val="007E447C"/>
    <w:rsid w:val="00805F71"/>
    <w:rsid w:val="00830F17"/>
    <w:rsid w:val="00845AAB"/>
    <w:rsid w:val="00852594"/>
    <w:rsid w:val="008D37CF"/>
    <w:rsid w:val="00900B86"/>
    <w:rsid w:val="0092771C"/>
    <w:rsid w:val="00954D49"/>
    <w:rsid w:val="009615E3"/>
    <w:rsid w:val="00975304"/>
    <w:rsid w:val="0098777A"/>
    <w:rsid w:val="009942F0"/>
    <w:rsid w:val="009F0128"/>
    <w:rsid w:val="00A55B46"/>
    <w:rsid w:val="00A86B6B"/>
    <w:rsid w:val="00A86FE5"/>
    <w:rsid w:val="00A95DD6"/>
    <w:rsid w:val="00AB2408"/>
    <w:rsid w:val="00AD3B25"/>
    <w:rsid w:val="00B05DD8"/>
    <w:rsid w:val="00B35AFE"/>
    <w:rsid w:val="00B91F7A"/>
    <w:rsid w:val="00BB2DB1"/>
    <w:rsid w:val="00BF031B"/>
    <w:rsid w:val="00C06E7A"/>
    <w:rsid w:val="00C13019"/>
    <w:rsid w:val="00C22261"/>
    <w:rsid w:val="00C556A6"/>
    <w:rsid w:val="00C77CC3"/>
    <w:rsid w:val="00CD3C52"/>
    <w:rsid w:val="00CF70D2"/>
    <w:rsid w:val="00D31D7A"/>
    <w:rsid w:val="00D842D3"/>
    <w:rsid w:val="00D90697"/>
    <w:rsid w:val="00D96F82"/>
    <w:rsid w:val="00DC4C1E"/>
    <w:rsid w:val="00E57EA8"/>
    <w:rsid w:val="00E65011"/>
    <w:rsid w:val="00EA58D9"/>
    <w:rsid w:val="00EC2D5D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2113-01-01T05:00:00Z</cp:lastPrinted>
  <dcterms:created xsi:type="dcterms:W3CDTF">2013-10-03T10:21:00Z</dcterms:created>
  <dcterms:modified xsi:type="dcterms:W3CDTF">2013-10-03T20:27:00Z</dcterms:modified>
</cp:coreProperties>
</file>