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2B4386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2B4386">
        <w:rPr>
          <w:rFonts w:ascii="Times New Roman" w:hAnsi="Times New Roman"/>
          <w:b/>
          <w:iCs/>
          <w:u w:val="single"/>
        </w:rPr>
        <w:t>Of</w:t>
      </w:r>
      <w:proofErr w:type="gramEnd"/>
      <w:r w:rsidRPr="002B4386">
        <w:rPr>
          <w:rFonts w:ascii="Times New Roman" w:hAnsi="Times New Roman"/>
          <w:b/>
          <w:iCs/>
          <w:u w:val="single"/>
        </w:rPr>
        <w:t xml:space="preserve">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Pr="004563E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0DE43E7B" w:rsidR="008D0646" w:rsidRPr="004563EA" w:rsidRDefault="008D0646" w:rsidP="007906E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4563EA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4563EA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92519"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3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="0010202E" w:rsidRPr="004563E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7906EE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r w:rsidRPr="004563E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Pr="004563E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0DE43E7B" w:rsidR="008D0646" w:rsidRPr="004563EA" w:rsidRDefault="008D0646" w:rsidP="007906EE">
                      <w:pPr>
                        <w:spacing w:after="0"/>
                        <w:jc w:val="center"/>
                      </w:pPr>
                      <w:proofErr w:type="spellStart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4563EA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4563EA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B92519"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4563E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4563EA">
                        <w:rPr>
                          <w:rFonts w:ascii="Times New Roman" w:eastAsia="Times New Roman" w:hAnsi="Times New Roman"/>
                        </w:rPr>
                        <w:t xml:space="preserve">3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="0010202E" w:rsidRPr="004563E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7906EE">
                        <w:rPr>
                          <w:rFonts w:ascii="Times New Roman" w:eastAsia="Times New Roman" w:hAnsi="Times New Roman"/>
                        </w:rPr>
                        <w:t>1</w:t>
                      </w:r>
                      <w:r w:rsidRPr="004563E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77777777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Maintain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1204D0A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48FE797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Filter requests, bandwidth, TFT Board Member.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IceTray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300E0B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A43AEC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B28F0A2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3769AC71" w:rsidR="0061585B" w:rsidRPr="007879A8" w:rsidRDefault="00551879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TBD (replacing John </w:t>
            </w:r>
            <w:proofErr w:type="spellStart"/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Felde</w:t>
            </w:r>
            <w:proofErr w:type="spellEnd"/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17FB57B" w:rsidR="0061585B" w:rsidRPr="0055187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5CD2283D" w:rsidR="0061585B" w:rsidRPr="00551879" w:rsidRDefault="0061585B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GRB WG co-chair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0DC4816C" w:rsidR="0061585B" w:rsidRPr="007879A8" w:rsidRDefault="00551879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4E1465C8" w:rsidR="0061585B" w:rsidRPr="007879A8" w:rsidRDefault="00551879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485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6813DE1B" w:rsidR="0061585B" w:rsidRPr="00551879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55187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61A42D6A" w:rsidR="0061585B" w:rsidRPr="007879A8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313EF89D" w14:textId="77777777" w:rsidTr="009F2EFA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23D14545" w:rsidR="0061585B" w:rsidRPr="00E04D1E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1BFDAC64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1B251AD6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320353E6" w:rsidR="0061585B" w:rsidRPr="00E04D1E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1A944928" w:rsidR="0061585B" w:rsidRPr="00E04D1E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29F6D292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17B83688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Low energy 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48D0E4E7" w:rsidR="0061585B" w:rsidRPr="007879A8" w:rsidRDefault="009F2EFA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F2EF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  <w:r w:rsidR="0061585B" w:rsidRPr="009F2EF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36CD7448" w:rsidR="0061585B" w:rsidRPr="007879A8" w:rsidRDefault="009F2EFA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9F2EF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  <w:r w:rsidR="0061585B" w:rsidRPr="009F2EF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</w:tr>
      <w:tr w:rsidR="0061585B" w:rsidRPr="007879A8" w14:paraId="026F3B1E" w14:textId="77777777" w:rsidTr="009F2EFA">
        <w:trPr>
          <w:trHeight w:val="167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110BD4D" w14:textId="73D0D082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6153EE97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5E347D1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1585B" w:rsidRPr="007879A8" w14:paraId="3EE9D04C" w14:textId="77777777" w:rsidTr="009F2EFA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03BB2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0672131D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6EB55390" w:rsidR="0061585B" w:rsidRPr="009F2EFA" w:rsidRDefault="009F2EFA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9F2EF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0.0</w:t>
            </w:r>
            <w:r w:rsidR="0061585B" w:rsidRPr="009F2EF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53597CAF" w:rsidR="0061585B" w:rsidRPr="007879A8" w:rsidRDefault="0061585B" w:rsidP="009F2EF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9F2E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75</w:t>
            </w:r>
          </w:p>
        </w:tc>
      </w:tr>
      <w:tr w:rsidR="00FE2E4F" w:rsidRPr="007879A8" w14:paraId="63EBC51A" w14:textId="77777777" w:rsidTr="009F2EFA">
        <w:trPr>
          <w:trHeight w:val="218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298265B5" w:rsidR="00FE2E4F" w:rsidRPr="007879A8" w:rsidRDefault="009F2EFA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673F3DD8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TBD (replacing Ming Song</w:t>
            </w: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628A952E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0830A230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69B6CD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  <w:p w14:paraId="460C38E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1AA28542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FE2E4F" w:rsidRPr="007879A8" w14:paraId="2BF30115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0E38A4C9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93B2750" w14:textId="0DD8D204" w:rsidR="00FE2E4F" w:rsidRPr="007879A8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B3B" w14:textId="6721CC15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Engineering and R&amp;D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5F819" w14:textId="215FEB9D" w:rsidR="00FE2E4F" w:rsidRPr="00FE2E4F" w:rsidRDefault="00FE2E4F" w:rsidP="00FE2E4F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FE2E4F" w:rsidRPr="00FE2E4F" w:rsidRDefault="00FE2E4F" w:rsidP="00FE2E4F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77B77D68" w:rsidR="00FE2E4F" w:rsidRPr="00FE2E4F" w:rsidRDefault="00FE2E4F" w:rsidP="00FE2E4F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18FA922B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5FC63B75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52E3EE6A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FE2E4F" w:rsidRPr="00FE2E4F" w:rsidRDefault="00FE2E4F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21D4974A" w:rsidR="00FE2E4F" w:rsidRPr="00FE2E4F" w:rsidRDefault="00FE2E4F" w:rsidP="00FE2E4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0AB60871" w:rsidR="0061585B" w:rsidRPr="007879A8" w:rsidRDefault="00FC6329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6DD8FADC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381CB692" w:rsidR="0061585B" w:rsidRPr="007879A8" w:rsidRDefault="0061585B" w:rsidP="00DC2EC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31D83585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FE2E4F" w:rsidRPr="00FE2E4F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7879A8" w:rsidRDefault="0061585B" w:rsidP="003203A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72D01104" w:rsidR="0061585B" w:rsidRPr="00FE2E4F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FE2E4F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FE2E4F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FE2E4F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FE2E4F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FE2E4F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4AF3374E" w:rsidR="0061585B" w:rsidRPr="00FE2E4F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FE2E4F" w:rsidRPr="007879A8" w14:paraId="3401B615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1046FF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807183" w14:textId="77777777" w:rsidR="00FE2E4F" w:rsidRPr="007879A8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8F965E" w14:textId="3178C209" w:rsidR="00FE2E4F" w:rsidRPr="00FE2E4F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A885D93" w14:textId="55DBCC50" w:rsidR="00FE2E4F" w:rsidRPr="00FE2E4F" w:rsidRDefault="00FE2E4F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Real-time &amp; near real time alerts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C7AD0E7" w14:textId="77777777" w:rsidR="00FE2E4F" w:rsidRPr="00FE2E4F" w:rsidRDefault="00FE2E4F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D1B89" w14:textId="77777777" w:rsidR="00FE2E4F" w:rsidRPr="00FE2E4F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64D03" w14:textId="789A98A4" w:rsidR="00FE2E4F" w:rsidRPr="00FE2E4F" w:rsidRDefault="00FC6329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  <w:r w:rsidR="00FE2E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C5117B" w14:textId="77777777" w:rsidR="00FE2E4F" w:rsidRPr="00FE2E4F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3C67AB" w14:textId="77777777" w:rsidR="00FE2E4F" w:rsidRPr="00FE2E4F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61B647" w14:textId="77777777" w:rsidR="00FE2E4F" w:rsidRPr="00FE2E4F" w:rsidRDefault="00FE2E4F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09AB39C" w14:textId="77777777" w:rsidR="00FE2E4F" w:rsidRPr="00FE2E4F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9E93E23" w14:textId="4CA40262" w:rsidR="00FE2E4F" w:rsidRPr="00FE2E4F" w:rsidRDefault="00FE2E4F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37F837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281391CF" w:rsidR="0061585B" w:rsidRPr="007879A8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114CACBD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1A4C34B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FREIDMAN, LIZ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06AE752" w:rsidR="0061585B" w:rsidRPr="007879A8" w:rsidRDefault="0061585B" w:rsidP="00FC63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7D280D17" w:rsidR="0061585B" w:rsidRPr="007879A8" w:rsidRDefault="0061585B" w:rsidP="00FC632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3A474A4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EF8F7A4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4FC523E9" w:rsidR="0061585B" w:rsidRPr="007879A8" w:rsidRDefault="0061585B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3C6A55CE" w:rsidR="0061585B" w:rsidRPr="007879A8" w:rsidRDefault="006A5BAC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FC632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48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3A4264C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7C080AC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3DE323C0" w:rsidR="0061585B" w:rsidRPr="007879A8" w:rsidRDefault="00FC6329" w:rsidP="00FC63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DC2E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536B2C52" w:rsidR="0061585B" w:rsidRPr="007879A8" w:rsidRDefault="00FC6329" w:rsidP="001345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 w:eastAsia="en-US" w:bidi="he-IL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</w:t>
            </w:r>
            <w:r w:rsidR="001345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407ECB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Greg Sullivan (L</w:t>
      </w:r>
      <w:proofErr w:type="gramStart"/>
      <w:r w:rsidRPr="002B4386">
        <w:rPr>
          <w:rFonts w:ascii="Times New Roman" w:hAnsi="Times New Roman"/>
        </w:rPr>
        <w:t>,+</w:t>
      </w:r>
      <w:proofErr w:type="gramEnd"/>
      <w:r w:rsidRPr="002B4386">
        <w:rPr>
          <w:rFonts w:ascii="Times New Roman" w:hAnsi="Times New Roman"/>
        </w:rPr>
        <w:t xml:space="preserve">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 xml:space="preserve">Data Systems, </w:t>
      </w:r>
      <w:proofErr w:type="spellStart"/>
      <w:r w:rsidRPr="002B4386">
        <w:rPr>
          <w:rFonts w:ascii="Times New Roman" w:hAnsi="Times New Roman"/>
        </w:rPr>
        <w:t>ExecCom</w:t>
      </w:r>
      <w:proofErr w:type="spellEnd"/>
      <w:r w:rsidRPr="002B4386">
        <w:rPr>
          <w:rFonts w:ascii="Times New Roman" w:hAnsi="Times New Roman"/>
        </w:rPr>
        <w:t>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Jordan Goodman – Coordination with </w:t>
      </w:r>
      <w:proofErr w:type="spellStart"/>
      <w:r w:rsidRPr="002B4386">
        <w:rPr>
          <w:rFonts w:ascii="Times New Roman" w:hAnsi="Times New Roman"/>
        </w:rPr>
        <w:t>Milagro</w:t>
      </w:r>
      <w:proofErr w:type="spellEnd"/>
      <w:r w:rsidRPr="002B4386">
        <w:rPr>
          <w:rFonts w:ascii="Times New Roman" w:hAnsi="Times New Roman"/>
        </w:rPr>
        <w:t>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291F752D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Erik </w:t>
      </w:r>
      <w:proofErr w:type="spellStart"/>
      <w:r w:rsidRPr="004149BD">
        <w:rPr>
          <w:rFonts w:ascii="Times New Roman" w:hAnsi="Times New Roman"/>
        </w:rPr>
        <w:t>Blaufuss</w:t>
      </w:r>
      <w:proofErr w:type="spellEnd"/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PnF</w:t>
      </w:r>
      <w:proofErr w:type="spellEnd"/>
      <w:r w:rsidRPr="004149BD">
        <w:rPr>
          <w:rFonts w:ascii="Times New Roman" w:hAnsi="Times New Roman"/>
        </w:rPr>
        <w:t xml:space="preserve">, </w:t>
      </w:r>
      <w:proofErr w:type="spellStart"/>
      <w:r w:rsidRPr="004149BD">
        <w:rPr>
          <w:rFonts w:ascii="Times New Roman" w:hAnsi="Times New Roman"/>
        </w:rPr>
        <w:t>IceTray</w:t>
      </w:r>
      <w:proofErr w:type="spellEnd"/>
      <w:r w:rsidRPr="004149BD">
        <w:rPr>
          <w:rFonts w:ascii="Times New Roman" w:hAnsi="Times New Roman"/>
        </w:rPr>
        <w:t>, SVN</w:t>
      </w:r>
      <w:r w:rsidR="0061585B">
        <w:rPr>
          <w:rFonts w:ascii="Times New Roman" w:hAnsi="Times New Roman"/>
        </w:rPr>
        <w:t xml:space="preserve"> repository, Operations Group, ICC</w:t>
      </w:r>
    </w:p>
    <w:p w14:paraId="5E0B221E" w14:textId="26046D10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  <w:r w:rsidR="0061585B">
        <w:rPr>
          <w:rFonts w:ascii="Times New Roman" w:hAnsi="Times New Roman"/>
          <w:color w:val="0070C0"/>
        </w:rPr>
        <w:t>, real time alerts</w:t>
      </w:r>
    </w:p>
    <w:p w14:paraId="6C28C6BE" w14:textId="67C84BAA" w:rsidR="00776E73" w:rsidRPr="002B4386" w:rsidRDefault="00551879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551879">
        <w:rPr>
          <w:rFonts w:ascii="Times New Roman" w:hAnsi="Times New Roman"/>
          <w:color w:val="FF0000"/>
        </w:rPr>
        <w:t>TBD to replace</w:t>
      </w:r>
      <w:r>
        <w:rPr>
          <w:rFonts w:ascii="Times New Roman" w:hAnsi="Times New Roman"/>
        </w:rPr>
        <w:t xml:space="preserve"> </w:t>
      </w:r>
      <w:r w:rsidR="00776E73" w:rsidRPr="002B4386">
        <w:rPr>
          <w:rFonts w:ascii="Times New Roman" w:hAnsi="Times New Roman"/>
        </w:rPr>
        <w:t xml:space="preserve">– </w:t>
      </w:r>
      <w:r w:rsidR="00776E73">
        <w:rPr>
          <w:rFonts w:ascii="Times New Roman" w:hAnsi="Times New Roman"/>
        </w:rPr>
        <w:tab/>
        <w:t>Online – near real</w:t>
      </w:r>
      <w:r w:rsidR="0061585B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>time GRB analysis</w:t>
      </w:r>
    </w:p>
    <w:p w14:paraId="3CFFA9C8" w14:textId="77777777" w:rsidR="00553467" w:rsidRPr="002B4386" w:rsidRDefault="00553467" w:rsidP="00553467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proofErr w:type="spellStart"/>
      <w:r w:rsidRPr="002B4386">
        <w:rPr>
          <w:rFonts w:ascii="Times New Roman" w:hAnsi="Times New Roman"/>
        </w:rPr>
        <w:t>Elim</w:t>
      </w:r>
      <w:proofErr w:type="spellEnd"/>
      <w:r w:rsidRPr="002B4386">
        <w:rPr>
          <w:rFonts w:ascii="Times New Roman" w:hAnsi="Times New Roman"/>
        </w:rPr>
        <w:t xml:space="preserve"> Cheung – </w:t>
      </w:r>
      <w:r>
        <w:rPr>
          <w:rFonts w:ascii="Times New Roman" w:hAnsi="Times New Roman"/>
        </w:rPr>
        <w:tab/>
      </w:r>
      <w:r w:rsidRPr="002B4386">
        <w:rPr>
          <w:rFonts w:ascii="Times New Roman" w:hAnsi="Times New Roman"/>
        </w:rPr>
        <w:t>Offline Processing development &amp; testing, Simulation</w:t>
      </w:r>
    </w:p>
    <w:p w14:paraId="37213147" w14:textId="77777777" w:rsidR="00553467" w:rsidRPr="00D36A20" w:rsidRDefault="00553467" w:rsidP="00553467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 Neutrino Oscillations</w:t>
      </w:r>
    </w:p>
    <w:p w14:paraId="735D4BCD" w14:textId="58A4801B" w:rsidR="00776E73" w:rsidRPr="00D36A20" w:rsidRDefault="00551879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551879">
        <w:rPr>
          <w:rFonts w:ascii="Times New Roman" w:hAnsi="Times New Roman"/>
          <w:color w:val="FF0000"/>
        </w:rPr>
        <w:t xml:space="preserve">John </w:t>
      </w:r>
      <w:proofErr w:type="spellStart"/>
      <w:r w:rsidRPr="00551879">
        <w:rPr>
          <w:rFonts w:ascii="Times New Roman" w:hAnsi="Times New Roman"/>
          <w:color w:val="FF0000"/>
        </w:rPr>
        <w:t>Felde</w:t>
      </w:r>
      <w:proofErr w:type="spellEnd"/>
      <w:r w:rsidR="00776E73">
        <w:rPr>
          <w:rFonts w:ascii="Times New Roman" w:hAnsi="Times New Roman"/>
          <w:color w:val="FF0000"/>
        </w:rPr>
        <w:tab/>
      </w:r>
      <w:r w:rsidR="00776E73" w:rsidRPr="00D36A20">
        <w:rPr>
          <w:rFonts w:ascii="Times New Roman" w:hAnsi="Times New Roman"/>
          <w:color w:val="0070C0"/>
        </w:rPr>
        <w:t xml:space="preserve">Analysis topics: GRB, </w:t>
      </w:r>
      <w:r w:rsidR="0061585B">
        <w:rPr>
          <w:rFonts w:ascii="Times New Roman" w:hAnsi="Times New Roman"/>
          <w:color w:val="0070C0"/>
        </w:rPr>
        <w:t xml:space="preserve">Real time alerts, </w:t>
      </w:r>
      <w:r w:rsidR="00776E73" w:rsidRPr="00D36A20">
        <w:rPr>
          <w:rFonts w:ascii="Times New Roman" w:hAnsi="Times New Roman"/>
          <w:color w:val="0070C0"/>
        </w:rPr>
        <w:t>Neutrino Oscillations</w:t>
      </w:r>
    </w:p>
    <w:p w14:paraId="5D31DD26" w14:textId="7BBB0106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29C18C77" w14:textId="77777777" w:rsidR="00FE2E4F" w:rsidRPr="00FE2E4F" w:rsidRDefault="00FE2E4F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FF0000"/>
        </w:rPr>
      </w:pPr>
      <w:r w:rsidRPr="00FE2E4F">
        <w:rPr>
          <w:rFonts w:ascii="Times New Roman" w:hAnsi="Times New Roman"/>
          <w:color w:val="FF0000"/>
        </w:rPr>
        <w:t xml:space="preserve">TBD </w:t>
      </w:r>
      <w:bookmarkStart w:id="0" w:name="_GoBack"/>
      <w:r w:rsidRPr="00FE2E4F">
        <w:rPr>
          <w:rFonts w:ascii="Times New Roman" w:hAnsi="Times New Roman"/>
          <w:color w:val="FF0000"/>
        </w:rPr>
        <w:t>to replace</w:t>
      </w:r>
      <w:bookmarkEnd w:id="0"/>
    </w:p>
    <w:p w14:paraId="4FFCBC17" w14:textId="7FDCF21C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FE2E4F">
        <w:rPr>
          <w:rFonts w:ascii="Times New Roman" w:hAnsi="Times New Roman"/>
          <w:color w:val="FF0000"/>
        </w:rPr>
        <w:t>Ming Song</w:t>
      </w:r>
      <w:r w:rsidR="005F7206" w:rsidRPr="00FE2E4F">
        <w:rPr>
          <w:rFonts w:ascii="Times New Roman" w:hAnsi="Times New Roman"/>
          <w:color w:val="FF0000"/>
        </w:rPr>
        <w:t xml:space="preserve"> </w:t>
      </w:r>
      <w:r w:rsidR="005F7206" w:rsidRPr="002B4386">
        <w:rPr>
          <w:rFonts w:ascii="Times New Roman" w:hAnsi="Times New Roman"/>
        </w:rPr>
        <w:t xml:space="preserve">– </w:t>
      </w:r>
      <w:r w:rsidR="002B4386">
        <w:rPr>
          <w:rFonts w:ascii="Times New Roman" w:hAnsi="Times New Roman"/>
        </w:rPr>
        <w:tab/>
      </w:r>
      <w:r w:rsidR="00FE2E4F">
        <w:rPr>
          <w:rFonts w:ascii="Times New Roman" w:hAnsi="Times New Roman"/>
        </w:rPr>
        <w:t>Filtering and Detector R&amp;D</w:t>
      </w:r>
    </w:p>
    <w:p w14:paraId="2DC89D84" w14:textId="4B8C0C4B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FE2E4F">
        <w:rPr>
          <w:rFonts w:ascii="Times New Roman" w:hAnsi="Times New Roman"/>
          <w:color w:val="0070C0"/>
        </w:rPr>
        <w:t>Multi-messenger transient &amp; GRB search</w:t>
      </w:r>
    </w:p>
    <w:p w14:paraId="668B971A" w14:textId="3640772C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 xml:space="preserve">Liz Friedman – Core Software, Datasets for filter testing &amp; common MC </w:t>
      </w:r>
      <w:proofErr w:type="gramStart"/>
      <w:r w:rsidRPr="00FF1AB3">
        <w:rPr>
          <w:rFonts w:ascii="Times New Roman" w:hAnsi="Times New Roman"/>
          <w:color w:val="000000" w:themeColor="text1"/>
        </w:rPr>
        <w:t>datasets</w:t>
      </w:r>
      <w:proofErr w:type="gramEnd"/>
    </w:p>
    <w:p w14:paraId="1430A11B" w14:textId="3EE1E4E9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</w:t>
      </w:r>
      <w:proofErr w:type="spellStart"/>
      <w:r w:rsidRPr="002B4386">
        <w:rPr>
          <w:rFonts w:ascii="Times New Roman" w:hAnsi="Times New Roman"/>
          <w:b/>
          <w:u w:val="single"/>
        </w:rPr>
        <w:t>IceCube</w:t>
      </w:r>
      <w:proofErr w:type="spellEnd"/>
      <w:r w:rsidRPr="002B4386">
        <w:rPr>
          <w:rFonts w:ascii="Times New Roman" w:hAnsi="Times New Roman"/>
          <w:b/>
          <w:u w:val="single"/>
        </w:rPr>
        <w:t xml:space="preserve">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online </w:t>
      </w:r>
      <w:proofErr w:type="spellStart"/>
      <w:r w:rsidRPr="002B4386">
        <w:rPr>
          <w:rFonts w:ascii="Times New Roman" w:hAnsi="Times New Roman"/>
        </w:rPr>
        <w:t>PnF</w:t>
      </w:r>
      <w:proofErr w:type="spellEnd"/>
      <w:r w:rsidRPr="002B4386">
        <w:rPr>
          <w:rFonts w:ascii="Times New Roman" w:hAnsi="Times New Roman"/>
        </w:rPr>
        <w:t xml:space="preserve">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Primary institutional responsibility for the maintenance of the </w:t>
      </w:r>
      <w:proofErr w:type="spellStart"/>
      <w:r w:rsidRPr="002B4386">
        <w:rPr>
          <w:rFonts w:ascii="Times New Roman" w:hAnsi="Times New Roman"/>
        </w:rPr>
        <w:t>IceTray</w:t>
      </w:r>
      <w:proofErr w:type="spellEnd"/>
      <w:r w:rsidRPr="002B4386">
        <w:rPr>
          <w:rFonts w:ascii="Times New Roman" w:hAnsi="Times New Roman"/>
        </w:rPr>
        <w:t xml:space="preserve">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</w:t>
      </w:r>
      <w:proofErr w:type="spellStart"/>
      <w:r w:rsidRPr="002B4386">
        <w:rPr>
          <w:rFonts w:ascii="Times New Roman" w:hAnsi="Times New Roman"/>
        </w:rPr>
        <w:t>IceCube</w:t>
      </w:r>
      <w:proofErr w:type="spellEnd"/>
      <w:r w:rsidRPr="002B4386">
        <w:rPr>
          <w:rFonts w:ascii="Times New Roman" w:hAnsi="Times New Roman"/>
        </w:rPr>
        <w:t xml:space="preserve"> simulation package (</w:t>
      </w:r>
      <w:proofErr w:type="spellStart"/>
      <w:r w:rsidRPr="002B4386">
        <w:rPr>
          <w:rFonts w:ascii="Times New Roman" w:hAnsi="Times New Roman"/>
        </w:rPr>
        <w:t>IceSim</w:t>
      </w:r>
      <w:proofErr w:type="spellEnd"/>
      <w:r w:rsidRPr="002B4386">
        <w:rPr>
          <w:rFonts w:ascii="Times New Roman" w:hAnsi="Times New Roman"/>
        </w:rPr>
        <w:t xml:space="preserve">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5D281D87" w:rsidR="001C000B" w:rsidRPr="004563EA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FF1AB3">
        <w:rPr>
          <w:rFonts w:ascii="Times New Roman" w:hAnsi="Times New Roman"/>
          <w:color w:val="000000" w:themeColor="text1"/>
        </w:rPr>
        <w:lastRenderedPageBreak/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FF1AB3">
        <w:rPr>
          <w:rFonts w:ascii="Times New Roman" w:hAnsi="Times New Roman"/>
          <w:color w:val="000000" w:themeColor="text1"/>
        </w:rPr>
        <w:t>cpu</w:t>
      </w:r>
      <w:proofErr w:type="spellEnd"/>
      <w:proofErr w:type="gramEnd"/>
      <w:r w:rsidRPr="00FF1AB3">
        <w:rPr>
          <w:rFonts w:ascii="Times New Roman" w:hAnsi="Times New Roman"/>
          <w:color w:val="000000" w:themeColor="text1"/>
        </w:rPr>
        <w:t xml:space="preserve">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 xml:space="preserve">more </w:t>
      </w:r>
      <w:proofErr w:type="spellStart"/>
      <w:r w:rsidR="00776E73" w:rsidRPr="00FF1AB3">
        <w:rPr>
          <w:rFonts w:ascii="Times New Roman" w:hAnsi="Times New Roman"/>
          <w:color w:val="000000" w:themeColor="text1"/>
        </w:rPr>
        <w:t>then</w:t>
      </w:r>
      <w:proofErr w:type="spellEnd"/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 xml:space="preserve">TB dedicated to </w:t>
      </w:r>
      <w:proofErr w:type="spellStart"/>
      <w:r w:rsidRPr="00FF1AB3">
        <w:rPr>
          <w:rFonts w:ascii="Times New Roman" w:hAnsi="Times New Roman"/>
          <w:color w:val="000000" w:themeColor="text1"/>
        </w:rPr>
        <w:t>IceCube</w:t>
      </w:r>
      <w:proofErr w:type="spellEnd"/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</w:t>
      </w:r>
      <w:proofErr w:type="spellStart"/>
      <w:proofErr w:type="gramStart"/>
      <w:r w:rsidRPr="001C000B">
        <w:rPr>
          <w:rFonts w:ascii="Times New Roman" w:hAnsi="Times New Roman"/>
        </w:rPr>
        <w:t>cpu</w:t>
      </w:r>
      <w:proofErr w:type="spellEnd"/>
      <w:proofErr w:type="gramEnd"/>
      <w:r w:rsidRPr="001C000B">
        <w:rPr>
          <w:rFonts w:ascii="Times New Roman" w:hAnsi="Times New Roman"/>
        </w:rPr>
        <w:t xml:space="preserve">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simulation production under the coordination of the </w:t>
      </w:r>
      <w:proofErr w:type="spellStart"/>
      <w:r w:rsidRPr="001C000B">
        <w:rPr>
          <w:rFonts w:ascii="Times New Roman" w:hAnsi="Times New Roman"/>
        </w:rPr>
        <w:t>IceCube</w:t>
      </w:r>
      <w:proofErr w:type="spellEnd"/>
      <w:r w:rsidRPr="001C000B">
        <w:rPr>
          <w:rFonts w:ascii="Times New Roman" w:hAnsi="Times New Roman"/>
        </w:rPr>
        <w:t xml:space="preserve"> simulation production </w:t>
      </w:r>
      <w:r w:rsidRPr="004563EA">
        <w:rPr>
          <w:rFonts w:ascii="Times New Roman" w:hAnsi="Times New Roman"/>
        </w:rPr>
        <w:t xml:space="preserve">manager. </w:t>
      </w:r>
      <w:r w:rsidR="00A87918" w:rsidRPr="004563EA">
        <w:rPr>
          <w:rFonts w:ascii="Times New Roman" w:hAnsi="Times New Roman"/>
        </w:rPr>
        <w:t>Maryland also provides resources to</w:t>
      </w:r>
      <w:r w:rsidR="00576FC6" w:rsidRPr="004563EA">
        <w:rPr>
          <w:rFonts w:ascii="Times New Roman" w:hAnsi="Times New Roman"/>
        </w:rPr>
        <w:t xml:space="preserve"> host and maintain </w:t>
      </w:r>
      <w:r w:rsidR="00A87918" w:rsidRPr="004563EA">
        <w:rPr>
          <w:rFonts w:ascii="Times New Roman" w:hAnsi="Times New Roman"/>
        </w:rPr>
        <w:t>a</w:t>
      </w:r>
      <w:r w:rsidR="00576FC6" w:rsidRPr="004563EA">
        <w:rPr>
          <w:rFonts w:ascii="Times New Roman" w:hAnsi="Times New Roman"/>
        </w:rPr>
        <w:t xml:space="preserve"> 64 GPU card </w:t>
      </w:r>
      <w:r w:rsidR="00A87918" w:rsidRPr="004563EA">
        <w:rPr>
          <w:rFonts w:ascii="Times New Roman" w:hAnsi="Times New Roman"/>
        </w:rPr>
        <w:t>system for UW.</w:t>
      </w:r>
    </w:p>
    <w:p w14:paraId="78B22994" w14:textId="77777777" w:rsidR="005F7206" w:rsidRPr="004563EA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4563EA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Pr="004563EA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First ½ of </w:t>
      </w:r>
      <w:r w:rsidR="001C000B" w:rsidRPr="004563EA">
        <w:rPr>
          <w:rFonts w:ascii="Times New Roman" w:hAnsi="Times New Roman"/>
        </w:rPr>
        <w:t xml:space="preserve">GPU cluster purchased by UMD </w:t>
      </w:r>
      <w:r w:rsidR="000620D7" w:rsidRPr="004563EA">
        <w:rPr>
          <w:rFonts w:ascii="Times New Roman" w:hAnsi="Times New Roman"/>
        </w:rPr>
        <w:t xml:space="preserve">($80k) </w:t>
      </w:r>
      <w:r w:rsidR="001C000B" w:rsidRPr="004563EA">
        <w:rPr>
          <w:rFonts w:ascii="Times New Roman" w:hAnsi="Times New Roman"/>
        </w:rPr>
        <w:t>and maintained with help from UMD</w:t>
      </w:r>
    </w:p>
    <w:p w14:paraId="446D3793" w14:textId="67019E1B" w:rsidR="000A5780" w:rsidRPr="004563EA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>hosting and maintaining an additional 64 GPU cards provided from UW for MC production</w:t>
      </w:r>
    </w:p>
    <w:p w14:paraId="2751FF7B" w14:textId="77777777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4563EA">
        <w:rPr>
          <w:rFonts w:ascii="Times New Roman" w:hAnsi="Times New Roman"/>
          <w:i/>
          <w:u w:val="single"/>
        </w:rPr>
        <w:t xml:space="preserve">1. &amp; </w:t>
      </w:r>
      <w:proofErr w:type="gramStart"/>
      <w:r w:rsidRPr="004563EA">
        <w:rPr>
          <w:rFonts w:ascii="Times New Roman" w:hAnsi="Times New Roman"/>
          <w:i/>
          <w:u w:val="single"/>
        </w:rPr>
        <w:t>2</w:t>
      </w:r>
      <w:proofErr w:type="gramEnd"/>
      <w:r w:rsidRPr="004563EA">
        <w:rPr>
          <w:rFonts w:ascii="Times New Roman" w:hAnsi="Times New Roman"/>
          <w:i/>
          <w:u w:val="single"/>
        </w:rPr>
        <w:t>. Computing Space, cooling and power &amp; Networking and high speed connectivity to the Internet</w:t>
      </w:r>
    </w:p>
    <w:p w14:paraId="61234D29" w14:textId="77777777" w:rsidR="00415B2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4563EA">
        <w:rPr>
          <w:rFonts w:ascii="Times New Roman" w:hAnsi="Times New Roman"/>
        </w:rPr>
        <w:t xml:space="preserve">The </w:t>
      </w:r>
      <w:proofErr w:type="spellStart"/>
      <w:r w:rsidRPr="004563EA">
        <w:rPr>
          <w:rFonts w:ascii="Times New Roman" w:hAnsi="Times New Roman"/>
        </w:rPr>
        <w:t>IceCube</w:t>
      </w:r>
      <w:proofErr w:type="spellEnd"/>
      <w:r w:rsidRPr="004563EA">
        <w:rPr>
          <w:rFonts w:ascii="Times New Roman" w:hAnsi="Times New Roman"/>
        </w:rPr>
        <w:t xml:space="preserve"> group </w:t>
      </w:r>
      <w:proofErr w:type="gramStart"/>
      <w:r w:rsidRPr="004563EA">
        <w:rPr>
          <w:rFonts w:ascii="Times New Roman" w:hAnsi="Times New Roman"/>
        </w:rPr>
        <w:t>is provided</w:t>
      </w:r>
      <w:proofErr w:type="gramEnd"/>
      <w:r w:rsidRPr="004563EA">
        <w:rPr>
          <w:rFonts w:ascii="Times New Roman" w:hAnsi="Times New Roman"/>
        </w:rPr>
        <w:t xml:space="preserve"> essentially unlimited space in a modern HPC computing facility for research computing on campus. The facility is monitored 24/7 by provided technicians and we have 24/7 secure access.  The current </w:t>
      </w:r>
      <w:r w:rsidR="005D1E10">
        <w:rPr>
          <w:rFonts w:ascii="Times New Roman" w:hAnsi="Times New Roman"/>
        </w:rPr>
        <w:t>Maryland-</w:t>
      </w:r>
      <w:proofErr w:type="spellStart"/>
      <w:r w:rsidR="005D1E10">
        <w:rPr>
          <w:rFonts w:ascii="Times New Roman" w:hAnsi="Times New Roman"/>
        </w:rPr>
        <w:t>IceCube</w:t>
      </w:r>
      <w:proofErr w:type="spellEnd"/>
      <w:r w:rsidR="005D1E10">
        <w:rPr>
          <w:rFonts w:ascii="Times New Roman" w:hAnsi="Times New Roman"/>
        </w:rPr>
        <w:t xml:space="preserve"> </w:t>
      </w:r>
      <w:r w:rsidRPr="004563EA">
        <w:rPr>
          <w:rFonts w:ascii="Times New Roman" w:hAnsi="Times New Roman"/>
        </w:rPr>
        <w:t xml:space="preserve">system occupies 10 rack spaces with additional space set aside for possible expansion. </w:t>
      </w:r>
    </w:p>
    <w:p w14:paraId="0F613EC6" w14:textId="69EE640B" w:rsidR="00415B2A" w:rsidRDefault="00415B2A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Host to UW GPU system of </w:t>
      </w:r>
      <w:proofErr w:type="gramStart"/>
      <w:r>
        <w:rPr>
          <w:rFonts w:ascii="Times New Roman" w:hAnsi="Times New Roman"/>
        </w:rPr>
        <w:t>8</w:t>
      </w:r>
      <w:proofErr w:type="gramEnd"/>
      <w:r>
        <w:rPr>
          <w:rFonts w:ascii="Times New Roman" w:hAnsi="Times New Roman"/>
        </w:rPr>
        <w:t xml:space="preserve"> GPU systems for 64 GPU cards.</w:t>
      </w:r>
    </w:p>
    <w:p w14:paraId="0FC2CE14" w14:textId="22541974" w:rsidR="005F7206" w:rsidRPr="004563EA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</w:rPr>
        <w:t xml:space="preserve">Maryland is a major hub for the Internet-2 backbone in the northeast US. </w:t>
      </w:r>
      <w:r w:rsidRPr="004563EA">
        <w:rPr>
          <w:rFonts w:ascii="Times New Roman" w:hAnsi="Times New Roman"/>
          <w:i/>
        </w:rPr>
        <w:t xml:space="preserve">The University provides a 10 </w:t>
      </w:r>
      <w:proofErr w:type="gramStart"/>
      <w:r w:rsidRPr="004563EA">
        <w:rPr>
          <w:rFonts w:ascii="Times New Roman" w:hAnsi="Times New Roman"/>
          <w:i/>
        </w:rPr>
        <w:t>Gb/</w:t>
      </w:r>
      <w:proofErr w:type="gramEnd"/>
      <w:r w:rsidRPr="004563EA">
        <w:rPr>
          <w:rFonts w:ascii="Times New Roman" w:hAnsi="Times New Roman"/>
          <w:i/>
        </w:rPr>
        <w:t>s fiber connection directly from the interenet-2 backbone into our cluster in the research computing facility.</w:t>
      </w:r>
      <w:r w:rsidRPr="004563EA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4563EA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proofErr w:type="gramStart"/>
      <w:r w:rsidRPr="004563EA">
        <w:rPr>
          <w:rFonts w:ascii="Times New Roman" w:hAnsi="Times New Roman"/>
          <w:i/>
          <w:u w:val="single"/>
        </w:rPr>
        <w:t>3.,</w:t>
      </w:r>
      <w:proofErr w:type="gramEnd"/>
      <w:r w:rsidR="005F7206" w:rsidRPr="004563EA">
        <w:rPr>
          <w:rFonts w:ascii="Times New Roman" w:hAnsi="Times New Roman"/>
          <w:i/>
          <w:u w:val="single"/>
        </w:rPr>
        <w:t xml:space="preserve"> 4.</w:t>
      </w:r>
      <w:r w:rsidRPr="004563EA">
        <w:rPr>
          <w:rFonts w:ascii="Times New Roman" w:hAnsi="Times New Roman"/>
          <w:i/>
          <w:u w:val="single"/>
        </w:rPr>
        <w:t xml:space="preserve"> &amp; </w:t>
      </w:r>
      <w:proofErr w:type="gramStart"/>
      <w:r w:rsidRPr="004563EA">
        <w:rPr>
          <w:rFonts w:ascii="Times New Roman" w:hAnsi="Times New Roman"/>
          <w:i/>
          <w:u w:val="single"/>
        </w:rPr>
        <w:t>5</w:t>
      </w:r>
      <w:proofErr w:type="gramEnd"/>
      <w:r w:rsidRPr="004563EA">
        <w:rPr>
          <w:rFonts w:ascii="Times New Roman" w:hAnsi="Times New Roman"/>
          <w:i/>
          <w:u w:val="single"/>
        </w:rPr>
        <w:t>.</w:t>
      </w:r>
      <w:r w:rsidR="005F7206" w:rsidRPr="004563EA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Pr="004563EA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4563EA">
        <w:rPr>
          <w:rFonts w:ascii="Times New Roman" w:hAnsi="Times New Roman"/>
          <w:b/>
          <w:i/>
        </w:rPr>
        <w:t>The University of M</w:t>
      </w:r>
      <w:r w:rsidR="00C65D4D" w:rsidRPr="004563EA">
        <w:rPr>
          <w:rFonts w:ascii="Times New Roman" w:hAnsi="Times New Roman"/>
          <w:b/>
          <w:i/>
        </w:rPr>
        <w:t>aryland provides $40</w:t>
      </w:r>
      <w:r w:rsidRPr="004563EA">
        <w:rPr>
          <w:rFonts w:ascii="Times New Roman" w:hAnsi="Times New Roman"/>
          <w:b/>
          <w:i/>
        </w:rPr>
        <w:t xml:space="preserve">k per year in funding to </w:t>
      </w:r>
      <w:proofErr w:type="gramStart"/>
      <w:r w:rsidRPr="004563EA">
        <w:rPr>
          <w:rFonts w:ascii="Times New Roman" w:hAnsi="Times New Roman"/>
          <w:b/>
          <w:i/>
        </w:rPr>
        <w:t>be used</w:t>
      </w:r>
      <w:proofErr w:type="gramEnd"/>
      <w:r w:rsidRPr="004563EA">
        <w:rPr>
          <w:rFonts w:ascii="Times New Roman" w:hAnsi="Times New Roman"/>
          <w:b/>
          <w:i/>
        </w:rPr>
        <w:t xml:space="preserve"> towards the total. </w:t>
      </w:r>
      <w:r w:rsidRPr="004563EA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4563EA">
        <w:rPr>
          <w:rFonts w:ascii="Times New Roman" w:hAnsi="Times New Roman"/>
        </w:rPr>
        <w:t>.</w:t>
      </w:r>
      <w:r w:rsidR="00C8327E" w:rsidRPr="004563EA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781"/>
        <w:gridCol w:w="1776"/>
        <w:gridCol w:w="1624"/>
        <w:gridCol w:w="2152"/>
      </w:tblGrid>
      <w:tr w:rsidR="004D7A39" w:rsidRPr="0049260E" w14:paraId="4EC16B7F" w14:textId="77777777" w:rsidTr="00766C4A">
        <w:tc>
          <w:tcPr>
            <w:tcW w:w="1729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557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776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766C4A">
        <w:tc>
          <w:tcPr>
            <w:tcW w:w="1729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781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776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24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2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766C4A">
        <w:tc>
          <w:tcPr>
            <w:tcW w:w="1729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proofErr w:type="spellStart"/>
            <w:r w:rsidRPr="0049260E">
              <w:rPr>
                <w:b/>
              </w:rPr>
              <w:t>IceCube</w:t>
            </w:r>
            <w:proofErr w:type="spellEnd"/>
            <w:r w:rsidRPr="0049260E">
              <w:rPr>
                <w:b/>
              </w:rPr>
              <w:t xml:space="preserve"> </w:t>
            </w:r>
          </w:p>
        </w:tc>
        <w:tc>
          <w:tcPr>
            <w:tcW w:w="1781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776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24" w:type="dxa"/>
          </w:tcPr>
          <w:p w14:paraId="352A2860" w14:textId="45FCB02F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 w:rsidR="00415B2A">
              <w:t>of 1000</w:t>
            </w:r>
            <w:r>
              <w:t xml:space="preserve"> total</w:t>
            </w:r>
          </w:p>
        </w:tc>
        <w:tc>
          <w:tcPr>
            <w:tcW w:w="2152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2D6A2B99" w:rsidR="000A5780" w:rsidRDefault="000A5780" w:rsidP="00603E79">
            <w:pPr>
              <w:spacing w:after="0"/>
            </w:pPr>
            <w:r>
              <w:t xml:space="preserve">+ 64 new GPU cards </w:t>
            </w:r>
            <w:r w:rsidR="00415B2A">
              <w:t>hosting for</w:t>
            </w:r>
            <w:r>
              <w:t xml:space="preserve"> UW</w:t>
            </w: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B9DFD" w14:textId="77777777" w:rsidR="004F1BC1" w:rsidRDefault="004F1BC1">
      <w:r>
        <w:separator/>
      </w:r>
    </w:p>
  </w:endnote>
  <w:endnote w:type="continuationSeparator" w:id="0">
    <w:p w14:paraId="1BDC84B3" w14:textId="77777777" w:rsidR="004F1BC1" w:rsidRDefault="004F1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76D43BE3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906EE">
      <w:rPr>
        <w:noProof/>
      </w:rPr>
      <w:t>2</w:t>
    </w:r>
    <w:r>
      <w:rPr>
        <w:noProof/>
      </w:rPr>
      <w:fldChar w:fldCharType="end"/>
    </w:r>
    <w:r>
      <w:t xml:space="preserve"> of </w:t>
    </w:r>
    <w:r w:rsidR="00F6059B">
      <w:rPr>
        <w:noProof/>
      </w:rPr>
      <w:fldChar w:fldCharType="begin"/>
    </w:r>
    <w:r w:rsidR="00F6059B">
      <w:rPr>
        <w:noProof/>
      </w:rPr>
      <w:instrText xml:space="preserve"> NUMPAGES </w:instrText>
    </w:r>
    <w:r w:rsidR="00F6059B">
      <w:rPr>
        <w:noProof/>
      </w:rPr>
      <w:fldChar w:fldCharType="separate"/>
    </w:r>
    <w:r w:rsidR="007906EE">
      <w:rPr>
        <w:noProof/>
      </w:rPr>
      <w:t>3</w:t>
    </w:r>
    <w:r w:rsidR="00F6059B">
      <w:rPr>
        <w:noProof/>
      </w:rPr>
      <w:fldChar w:fldCharType="end"/>
    </w:r>
  </w:p>
  <w:p w14:paraId="3CDC1398" w14:textId="438EA7F3" w:rsidR="008D0646" w:rsidRDefault="00F6059B" w:rsidP="00EA69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DC2EC2">
      <w:rPr>
        <w:noProof/>
      </w:rPr>
      <w:t>Maryland_MoU_SOW_2018.0517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75215" w14:textId="77777777" w:rsidR="004F1BC1" w:rsidRDefault="004F1BC1">
      <w:r>
        <w:separator/>
      </w:r>
    </w:p>
  </w:footnote>
  <w:footnote w:type="continuationSeparator" w:id="0">
    <w:p w14:paraId="0E6CF054" w14:textId="77777777" w:rsidR="004F1BC1" w:rsidRDefault="004F1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313ED17E" w:rsidR="008D0646" w:rsidRDefault="008D0646" w:rsidP="009F2EFA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3D7EEE">
      <w:t xml:space="preserve">May </w:t>
    </w:r>
    <w:r w:rsidR="009F2EFA">
      <w:t>17</w:t>
    </w:r>
    <w:r>
      <w:t>, 201</w:t>
    </w:r>
    <w:r w:rsidR="003D7EEE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4693"/>
    <w:rsid w:val="0004416C"/>
    <w:rsid w:val="000500A3"/>
    <w:rsid w:val="000518DC"/>
    <w:rsid w:val="00052B0A"/>
    <w:rsid w:val="000535D8"/>
    <w:rsid w:val="0005776B"/>
    <w:rsid w:val="000620D7"/>
    <w:rsid w:val="000732C3"/>
    <w:rsid w:val="00073B38"/>
    <w:rsid w:val="00074542"/>
    <w:rsid w:val="00085BAF"/>
    <w:rsid w:val="000868C5"/>
    <w:rsid w:val="00092078"/>
    <w:rsid w:val="0009789C"/>
    <w:rsid w:val="000A16F0"/>
    <w:rsid w:val="000A4C4D"/>
    <w:rsid w:val="000A5780"/>
    <w:rsid w:val="000C56A9"/>
    <w:rsid w:val="000E465F"/>
    <w:rsid w:val="000E55FC"/>
    <w:rsid w:val="000F045D"/>
    <w:rsid w:val="000F1F33"/>
    <w:rsid w:val="0010202E"/>
    <w:rsid w:val="00114FC0"/>
    <w:rsid w:val="00121ED7"/>
    <w:rsid w:val="0013452E"/>
    <w:rsid w:val="0015027B"/>
    <w:rsid w:val="00166BFA"/>
    <w:rsid w:val="00181442"/>
    <w:rsid w:val="00186FB1"/>
    <w:rsid w:val="00193BEF"/>
    <w:rsid w:val="001B57B6"/>
    <w:rsid w:val="001B7A5F"/>
    <w:rsid w:val="001C000B"/>
    <w:rsid w:val="001C2A0C"/>
    <w:rsid w:val="001C307F"/>
    <w:rsid w:val="001C3D80"/>
    <w:rsid w:val="001D485A"/>
    <w:rsid w:val="00217586"/>
    <w:rsid w:val="00221D9D"/>
    <w:rsid w:val="00241243"/>
    <w:rsid w:val="00261D67"/>
    <w:rsid w:val="0029038B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3127"/>
    <w:rsid w:val="003B1285"/>
    <w:rsid w:val="003C16B2"/>
    <w:rsid w:val="003C1768"/>
    <w:rsid w:val="003D5150"/>
    <w:rsid w:val="003D7EEE"/>
    <w:rsid w:val="003E7501"/>
    <w:rsid w:val="003F1E52"/>
    <w:rsid w:val="003F44AF"/>
    <w:rsid w:val="003F4647"/>
    <w:rsid w:val="00403387"/>
    <w:rsid w:val="00403D32"/>
    <w:rsid w:val="004057A3"/>
    <w:rsid w:val="00407ECB"/>
    <w:rsid w:val="004149BD"/>
    <w:rsid w:val="00415B2A"/>
    <w:rsid w:val="00425730"/>
    <w:rsid w:val="0045365E"/>
    <w:rsid w:val="00454E6B"/>
    <w:rsid w:val="004563EA"/>
    <w:rsid w:val="004565A7"/>
    <w:rsid w:val="004603A9"/>
    <w:rsid w:val="00461FD1"/>
    <w:rsid w:val="004825D8"/>
    <w:rsid w:val="004A01BC"/>
    <w:rsid w:val="004A78AC"/>
    <w:rsid w:val="004B77C3"/>
    <w:rsid w:val="004C3C77"/>
    <w:rsid w:val="004D7A39"/>
    <w:rsid w:val="004E2046"/>
    <w:rsid w:val="004F1BC1"/>
    <w:rsid w:val="005017D3"/>
    <w:rsid w:val="0050357C"/>
    <w:rsid w:val="005053B0"/>
    <w:rsid w:val="00506189"/>
    <w:rsid w:val="005132AD"/>
    <w:rsid w:val="0052191D"/>
    <w:rsid w:val="00530738"/>
    <w:rsid w:val="00551879"/>
    <w:rsid w:val="00553467"/>
    <w:rsid w:val="00556040"/>
    <w:rsid w:val="00576FC6"/>
    <w:rsid w:val="00586119"/>
    <w:rsid w:val="005863E3"/>
    <w:rsid w:val="005920E7"/>
    <w:rsid w:val="005A3446"/>
    <w:rsid w:val="005B780D"/>
    <w:rsid w:val="005D1E10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0171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A77BE"/>
    <w:rsid w:val="006C578E"/>
    <w:rsid w:val="006D3B49"/>
    <w:rsid w:val="006D7E0C"/>
    <w:rsid w:val="006D7ED2"/>
    <w:rsid w:val="00701DC6"/>
    <w:rsid w:val="00720280"/>
    <w:rsid w:val="00724D79"/>
    <w:rsid w:val="007310AD"/>
    <w:rsid w:val="007650A4"/>
    <w:rsid w:val="00766C4A"/>
    <w:rsid w:val="00767533"/>
    <w:rsid w:val="00773B63"/>
    <w:rsid w:val="0077529D"/>
    <w:rsid w:val="00776E73"/>
    <w:rsid w:val="00782A5A"/>
    <w:rsid w:val="007879A8"/>
    <w:rsid w:val="007906EE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9F2EFA"/>
    <w:rsid w:val="00A17D71"/>
    <w:rsid w:val="00A3038C"/>
    <w:rsid w:val="00A30AEB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4335"/>
    <w:rsid w:val="00B05B8A"/>
    <w:rsid w:val="00B16634"/>
    <w:rsid w:val="00B22335"/>
    <w:rsid w:val="00B24A8C"/>
    <w:rsid w:val="00B35E6A"/>
    <w:rsid w:val="00B3782D"/>
    <w:rsid w:val="00B5457F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A54CF"/>
    <w:rsid w:val="00CE11D3"/>
    <w:rsid w:val="00CE23D9"/>
    <w:rsid w:val="00CF5F50"/>
    <w:rsid w:val="00CF70D2"/>
    <w:rsid w:val="00D04032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C2EC2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6790E"/>
    <w:rsid w:val="00EA20DA"/>
    <w:rsid w:val="00EA2840"/>
    <w:rsid w:val="00EA6916"/>
    <w:rsid w:val="00EC23A3"/>
    <w:rsid w:val="00EC2D5D"/>
    <w:rsid w:val="00ED1F33"/>
    <w:rsid w:val="00ED4E30"/>
    <w:rsid w:val="00EE15B6"/>
    <w:rsid w:val="00F110B9"/>
    <w:rsid w:val="00F11448"/>
    <w:rsid w:val="00F24370"/>
    <w:rsid w:val="00F31D37"/>
    <w:rsid w:val="00F3658F"/>
    <w:rsid w:val="00F36EE4"/>
    <w:rsid w:val="00F57285"/>
    <w:rsid w:val="00F6059B"/>
    <w:rsid w:val="00F64038"/>
    <w:rsid w:val="00F71F58"/>
    <w:rsid w:val="00F7691F"/>
    <w:rsid w:val="00F81B11"/>
    <w:rsid w:val="00F9163E"/>
    <w:rsid w:val="00FA20D4"/>
    <w:rsid w:val="00FB2657"/>
    <w:rsid w:val="00FC6329"/>
    <w:rsid w:val="00FD5C58"/>
    <w:rsid w:val="00FE2E4F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15</cp:revision>
  <cp:lastPrinted>2011-04-26T15:02:00Z</cp:lastPrinted>
  <dcterms:created xsi:type="dcterms:W3CDTF">2018-05-02T13:29:00Z</dcterms:created>
  <dcterms:modified xsi:type="dcterms:W3CDTF">2018-08-02T20:49:00Z</dcterms:modified>
</cp:coreProperties>
</file>