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60D8" w:rsidRPr="000B277F" w:rsidRDefault="0072242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0B277F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0B277F">
        <w:rPr>
          <w:rFonts w:ascii="Times New Roman" w:hAnsi="Times New Roman"/>
          <w:b/>
          <w:iCs/>
          <w:u w:val="single"/>
        </w:rPr>
        <w:t xml:space="preserve"> Institutional Memorandum Of Understanding (MOU)</w:t>
      </w:r>
    </w:p>
    <w:p w:rsidR="001A60D8" w:rsidRPr="00C7451D" w:rsidRDefault="00722421" w:rsidP="001A60D8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:rsidR="001A60D8" w:rsidRPr="002252DB" w:rsidRDefault="0040699F" w:rsidP="001A60D8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52070</wp:posOffset>
                </wp:positionV>
                <wp:extent cx="6057900" cy="683260"/>
                <wp:effectExtent l="0" t="0" r="1905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7A4" w:rsidRPr="000B277F" w:rsidRDefault="00E257A4" w:rsidP="001A60D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- Madison</w:t>
                            </w:r>
                          </w:p>
                          <w:p w:rsidR="00E257A4" w:rsidRPr="008A4701" w:rsidRDefault="00E257A4" w:rsidP="001A60D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Albrecht Karle</w:t>
                            </w:r>
                          </w:p>
                          <w:p w:rsidR="00E257A4" w:rsidRPr="005C13FA" w:rsidRDefault="00E257A4" w:rsidP="001A60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B06DC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B06DC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B06DCC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B06DC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</w:t>
                            </w:r>
                            <w:r w:rsidRPr="005C13F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B60BA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20</w:t>
                            </w:r>
                            <w:r w:rsidRPr="005C13F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5C13FA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5C13FA">
                              <w:rPr>
                                <w:rFonts w:ascii="Times New Roman" w:eastAsia="Times New Roman" w:hAnsi="Times New Roman"/>
                              </w:rPr>
                              <w:t>6  1</w:t>
                            </w:r>
                            <w:r w:rsidR="00B60BAF">
                              <w:rPr>
                                <w:rFonts w:ascii="Times New Roman" w:eastAsia="Times New Roman" w:hAnsi="Times New Roman"/>
                              </w:rPr>
                              <w:t>4</w:t>
                            </w:r>
                            <w:proofErr w:type="gramEnd"/>
                            <w:r w:rsidRPr="005C13F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B37C5F">
                              <w:rPr>
                                <w:rFonts w:ascii="Times New Roman" w:eastAsia="Times New Roman" w:hAnsi="Times New Roman"/>
                              </w:rPr>
                              <w:t>9</w:t>
                            </w:r>
                            <w:r w:rsidRPr="005C13FA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">
                <v:textbox>
                  <w:txbxContent>
                    <w:p w:rsidR="00E257A4" w:rsidRPr="000B277F" w:rsidRDefault="00E257A4" w:rsidP="001A60D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- Madison</w:t>
                      </w:r>
                    </w:p>
                    <w:p w:rsidR="00E257A4" w:rsidRPr="008A4701" w:rsidRDefault="00E257A4" w:rsidP="001A60D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Albrecht Karle</w:t>
                      </w:r>
                    </w:p>
                    <w:p w:rsidR="00E257A4" w:rsidRPr="005C13FA" w:rsidRDefault="00E257A4" w:rsidP="001A60D8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B06DCC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B06DCC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B06DCC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B06DC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</w:t>
                      </w:r>
                      <w:r w:rsidRPr="005C13F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B60BA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20</w:t>
                      </w:r>
                      <w:r w:rsidRPr="005C13F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5C13FA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5C13FA">
                        <w:rPr>
                          <w:rFonts w:ascii="Times New Roman" w:eastAsia="Times New Roman" w:hAnsi="Times New Roman"/>
                        </w:rPr>
                        <w:t>6  1</w:t>
                      </w:r>
                      <w:r w:rsidR="00B60BAF">
                        <w:rPr>
                          <w:rFonts w:ascii="Times New Roman" w:eastAsia="Times New Roman" w:hAnsi="Times New Roman"/>
                        </w:rPr>
                        <w:t>4</w:t>
                      </w:r>
                      <w:proofErr w:type="gramEnd"/>
                      <w:r w:rsidRPr="005C13F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B37C5F">
                        <w:rPr>
                          <w:rFonts w:ascii="Times New Roman" w:eastAsia="Times New Roman" w:hAnsi="Times New Roman"/>
                        </w:rPr>
                        <w:t>9</w:t>
                      </w:r>
                      <w:r w:rsidRPr="005C13FA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7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650"/>
        <w:gridCol w:w="1710"/>
        <w:gridCol w:w="2610"/>
        <w:gridCol w:w="1320"/>
        <w:gridCol w:w="600"/>
        <w:gridCol w:w="600"/>
        <w:gridCol w:w="600"/>
        <w:gridCol w:w="660"/>
        <w:gridCol w:w="626"/>
        <w:gridCol w:w="724"/>
      </w:tblGrid>
      <w:tr w:rsidR="001A60D8" w:rsidRPr="00C02FB1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0D8" w:rsidRPr="00C02FB1" w:rsidRDefault="00722421" w:rsidP="001A60D8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0D8" w:rsidRPr="005C13FA" w:rsidRDefault="00722421" w:rsidP="001A60D8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A60D8" w:rsidRPr="00C02FB1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D8" w:rsidRPr="00C02FB1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D8" w:rsidRPr="005C13FA" w:rsidRDefault="001A60D8" w:rsidP="001A60D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Data </w:t>
            </w:r>
          </w:p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A60D8" w:rsidRPr="005C13FA" w:rsidRDefault="00722421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1A60D8" w:rsidRPr="00C02FB1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1D3C04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Principle Investigator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1A60D8" w:rsidRPr="00C02FB1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1D3C04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</w:t>
            </w:r>
          </w:p>
        </w:tc>
      </w:tr>
      <w:tr w:rsidR="001A60D8" w:rsidRPr="00C02FB1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1D3C04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1A60D8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1A60D8" w:rsidRPr="008A4701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1D3C04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Associate Director for Science and Instrumentation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0.38</w:t>
            </w:r>
          </w:p>
        </w:tc>
      </w:tr>
      <w:tr w:rsidR="001A60D8" w:rsidRPr="008A4701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1D3C04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1A60D8" w:rsidRPr="008A4701" w:rsidTr="0040699F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60D8" w:rsidRPr="001D3C04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1A60D8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1A60D8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1A60D8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A60D8" w:rsidRPr="005C13FA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A60D8" w:rsidRPr="005C13FA" w:rsidRDefault="00722421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0.58</w:t>
            </w:r>
          </w:p>
        </w:tc>
      </w:tr>
      <w:tr w:rsidR="001A60D8" w:rsidRPr="00E76B97" w:rsidTr="0040699F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E76B97" w:rsidRDefault="001A60D8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60D8" w:rsidRPr="005C13FA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HANSON, KAEL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60D8" w:rsidRPr="00A76A62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1A60D8" w:rsidRPr="00A76A62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Director of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Maintenance and Operations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A76A62" w:rsidRDefault="00722421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A60D8" w:rsidRPr="00A76A62" w:rsidRDefault="0040699F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0.47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A76A62" w:rsidRDefault="00722421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A76A62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A76A62" w:rsidRDefault="001A60D8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A60D8" w:rsidRPr="00A76A62" w:rsidRDefault="00722421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A60D8" w:rsidRPr="00A76A62" w:rsidRDefault="0040699F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0.47</w:t>
            </w:r>
          </w:p>
        </w:tc>
      </w:tr>
      <w:tr w:rsidR="0040699F" w:rsidRPr="00E76B97" w:rsidTr="0040699F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E76B97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40699F" w:rsidRPr="005C13FA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E257A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</w:tr>
      <w:tr w:rsidR="0040699F" w:rsidRPr="001D3C04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0699F" w:rsidRPr="001D3C04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HANSON, KAEL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40699F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0699F" w:rsidRPr="00A76A62" w:rsidRDefault="0040699F" w:rsidP="0040699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40699F" w:rsidRPr="00C02FB1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1D3C04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40699F" w:rsidRPr="005C13FA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0699F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0699F" w:rsidRPr="001D3C04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VANDENBROUCKE, JUSTIN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0699F" w:rsidRPr="00C02FB1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1D3C04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B268B5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268B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E257A4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</w:t>
            </w:r>
            <w:r w:rsidR="00D2242F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D2242F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D2242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0699F" w:rsidRPr="00A76A62" w:rsidRDefault="0040699F" w:rsidP="00D2242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D2242F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0699F" w:rsidRPr="00C02FB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1D3C04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B268B5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40699F" w:rsidRPr="00A76A62" w:rsidRDefault="0040699F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D2242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2242F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0699F" w:rsidRPr="00A76A62" w:rsidRDefault="0040699F" w:rsidP="00D2242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2242F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40699F" w:rsidRPr="00C02FB1">
        <w:trPr>
          <w:trHeight w:val="3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1D3C04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B268B5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B268B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40699F" w:rsidRPr="00A76A62" w:rsidRDefault="0040699F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0699F" w:rsidRPr="00A76A62" w:rsidRDefault="0040699F" w:rsidP="00D2242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2242F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0699F" w:rsidRPr="00A76A62" w:rsidRDefault="0040699F" w:rsidP="00D2242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2242F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</w:tr>
      <w:tr w:rsidR="0040699F" w:rsidRPr="00C02FB1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1D3C04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D2242F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0699F" w:rsidRPr="00A76A62" w:rsidRDefault="0040699F" w:rsidP="00D2242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0.7</w:t>
            </w:r>
            <w:r w:rsidR="00D2242F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0699F" w:rsidRPr="00A76A62" w:rsidRDefault="00D2242F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40699F" w:rsidRPr="00C02FB1">
        <w:trPr>
          <w:trHeight w:val="232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1D3C04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0699F" w:rsidRPr="005C13FA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  <w:r w:rsidR="00E324E5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Manager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99F" w:rsidRPr="00A76A62" w:rsidRDefault="0040699F" w:rsidP="00E324E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324E5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699F" w:rsidRPr="00A76A62" w:rsidRDefault="0040699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0699F" w:rsidRPr="00A76A62" w:rsidRDefault="0040699F" w:rsidP="00E324E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324E5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E324E5" w:rsidRPr="00C02FB1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E257A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streamlining programs for the cloud, GPU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E257A4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E324E5" w:rsidRPr="00C02FB1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324E5" w:rsidRPr="00E76B97">
        <w:trPr>
          <w:trHeight w:val="15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E76B97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76B97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Ops. And Maintenance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Coordination Committee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324E5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E324E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E324E5" w:rsidRPr="00C02FB1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Specialized simulations, designing new filters, unusual data selections, extracting specialized information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324E5" w:rsidRPr="00C02FB1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324E5" w:rsidRPr="00C02FB1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E324E5" w:rsidRPr="00C02FB1">
        <w:trPr>
          <w:trHeight w:val="4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NuGen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324E5" w:rsidRPr="00C02FB1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324E5" w:rsidRPr="00733078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E324E5" w:rsidRP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E257A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Training and coordinating monitoring shifters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324E5" w:rsidRP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324E5" w:rsidRP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 lead: coordinate test and feature dev.; design underlying analysis algorithms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324E5" w:rsidRP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Design and build experimental apparatus for restoring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detector efficiency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324E5" w:rsidRPr="005E6853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KAUER, MATTHEW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E324E5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E324E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E324E5" w:rsidRPr="00C02FB1">
        <w:trPr>
          <w:trHeight w:val="18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C827C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827C0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65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C827C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827C0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65</w:t>
            </w:r>
          </w:p>
        </w:tc>
      </w:tr>
      <w:tr w:rsidR="00E324E5" w:rsidRPr="00C02FB1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DOM software: DOR device driver,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DOMHub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scripts, 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DOMCal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C827C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C827C0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C827C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C827C0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E324E5" w:rsidRPr="00C02FB1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Track DOM issues, generate detector run configurations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324E5" w:rsidRPr="00C02FB1">
        <w:trPr>
          <w:trHeight w:val="7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KELLEY, JOHN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</w:tr>
      <w:tr w:rsidR="00E324E5" w:rsidRPr="00C02FB1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TOSI, DELIA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Absolute DOM sensitivity calibration (laboratory measurements)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C827C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C827C0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324E5" w:rsidRPr="00C02FB1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C827C0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Test and commission experimental apparatus for restoring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detector efficiency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C827C0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C827C0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324E5" w:rsidRPr="001D3C04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TOSI, DELIA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E324E5" w:rsidRPr="00C02FB1">
        <w:trPr>
          <w:trHeight w:val="583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pacing w:after="0"/>
              <w:ind w:right="-115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385963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85963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38596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385963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.40</w:t>
            </w:r>
          </w:p>
        </w:tc>
      </w:tr>
      <w:tr w:rsidR="00E324E5" w:rsidRPr="00C02FB1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DOM charge response, linearity, DOM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cal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385963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85963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385963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E324E5" w:rsidRPr="00C02FB1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</w:tr>
      <w:tr w:rsidR="00E324E5" w:rsidRPr="00C02FB1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DAY, MELANIE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Simulations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simulation</w:t>
            </w:r>
            <w:r w:rsidRPr="00A76A62">
              <w:rPr>
                <w:color w:val="000000" w:themeColor="text1"/>
              </w:rPr>
              <w:t xml:space="preserve"> </w:t>
            </w: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E77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324E5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DAY, MELANIE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FE4A89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324E5" w:rsidRPr="003E7CCC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3E7CCC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Storage &amp; Transfer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Analysis disk Data storage review, data filters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E324E5" w:rsidRPr="003E7CCC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3E7CCC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WANDKOWSKY, NANCY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A76A62" w:rsidRDefault="00E27920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Offline Data Processing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Level 2 offline processing – co-coordinator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FE4A89" w:rsidP="00DF47D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324E5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WANDKOWSKY, NANCY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FE4A8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E4A89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FE4A89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C8679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324E5" w:rsidRPr="00C02FB1">
        <w:trPr>
          <w:trHeight w:val="15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</w:tr>
      <w:tr w:rsidR="00E324E5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0.08</w:t>
            </w:r>
          </w:p>
        </w:tc>
      </w:tr>
      <w:tr w:rsidR="00E324E5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B37C5F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65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324E5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Veto simulation, 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Corsika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development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5C03A5" w:rsidRPr="00A25CB0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25CB0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25CB0" w:rsidRDefault="00E324E5" w:rsidP="001A60D8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25CB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SABBATINI, LUCA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Shower reconstruction, flasher data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324E5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TOBIN, MORIAH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event reconstruction (</w:t>
            </w:r>
            <w:proofErr w:type="spellStart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BiPed</w:t>
            </w:r>
            <w:proofErr w:type="spellEnd"/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), spline service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E324E5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GHORBANI, KEVIN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 time residuals/hole ice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9D12D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E324E5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FAHEY, SAM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 simulations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9D12D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5C03A5" w:rsidRPr="00A25CB0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A25CB0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25CB0" w:rsidRDefault="00E324E5" w:rsidP="001A60D8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25CB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MANCINA, SARAH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FE4A89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</w:t>
            </w:r>
            <w:r w:rsidR="00E324E5"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 neutrinos,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FE4A89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E324E5" w:rsidRPr="00C02FB1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5C13FA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C13F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E324E5" w:rsidRPr="00C02FB1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324E5" w:rsidRPr="001D3C04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3C04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FE4A8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E4A89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324E5" w:rsidRPr="00A76A62" w:rsidRDefault="00E324E5" w:rsidP="00FE4A8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4D64A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324E5" w:rsidRPr="00A76A62" w:rsidRDefault="004D64A6" w:rsidP="004D64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E324E5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="00E324E5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</w:p>
        </w:tc>
      </w:tr>
      <w:tr w:rsidR="00E324E5" w:rsidRPr="00C02FB1">
        <w:trPr>
          <w:trHeight w:val="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324E5" w:rsidRPr="00A76A62" w:rsidRDefault="00E324E5" w:rsidP="001A60D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324E5" w:rsidRPr="00A76A62" w:rsidRDefault="00E324E5" w:rsidP="001A60D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324E5" w:rsidRPr="00A76A62" w:rsidRDefault="00E324E5" w:rsidP="009D12D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 w:rsidR="009D12D7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324E5" w:rsidRPr="00A76A62" w:rsidRDefault="009D12D7" w:rsidP="009D12D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</w:t>
            </w:r>
            <w:r w:rsidR="00E324E5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324E5" w:rsidRPr="00A76A62" w:rsidRDefault="00E324E5" w:rsidP="004D64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9D12D7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</w:t>
            </w:r>
            <w:r w:rsidR="004D64A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9D12D7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324E5" w:rsidRPr="00A76A62" w:rsidRDefault="00E324E5" w:rsidP="009D12D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D12D7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324E5" w:rsidRPr="00A76A62" w:rsidRDefault="00E324E5" w:rsidP="001A60D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4D64A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.4</w:t>
            </w: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E324E5" w:rsidRPr="00A76A62" w:rsidRDefault="009D12D7" w:rsidP="004D64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10.</w:t>
            </w:r>
            <w:r w:rsidR="004D64A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E324E5" w:rsidRPr="00A76A6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bookmarkStart w:id="0" w:name="_GoBack"/>
            <w:bookmarkEnd w:id="0"/>
          </w:p>
        </w:tc>
      </w:tr>
    </w:tbl>
    <w:p w:rsidR="001A60D8" w:rsidRPr="002252DB" w:rsidRDefault="001A60D8" w:rsidP="001A60D8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:rsidR="001A60D8" w:rsidRDefault="001A60D8" w:rsidP="001A60D8">
      <w:pPr>
        <w:suppressAutoHyphens w:val="0"/>
        <w:spacing w:after="0"/>
        <w:rPr>
          <w:rFonts w:ascii="Times New Roman" w:hAnsi="Times New Roman"/>
          <w:b/>
          <w:bCs/>
        </w:rPr>
      </w:pPr>
    </w:p>
    <w:p w:rsidR="001A60D8" w:rsidRDefault="001A60D8" w:rsidP="001A60D8">
      <w:pPr>
        <w:suppressAutoHyphens w:val="0"/>
        <w:spacing w:after="0"/>
        <w:ind w:left="-630"/>
        <w:rPr>
          <w:rFonts w:ascii="Times New Roman" w:hAnsi="Times New Roman"/>
          <w:b/>
          <w:bCs/>
        </w:rPr>
      </w:pPr>
    </w:p>
    <w:p w:rsidR="00ED2BD5" w:rsidRDefault="00ED2BD5">
      <w:pPr>
        <w:suppressAutoHyphens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1A60D8" w:rsidRPr="00C02FB1" w:rsidRDefault="00722421" w:rsidP="00ED2BD5">
      <w:pPr>
        <w:suppressAutoHyphens w:val="0"/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lastRenderedPageBreak/>
        <w:t>Faculty:</w:t>
      </w:r>
    </w:p>
    <w:p w:rsidR="001A60D8" w:rsidRPr="00C02FB1" w:rsidRDefault="00722421" w:rsidP="00ED2BD5">
      <w:pPr>
        <w:suppressAutoHyphens w:val="0"/>
        <w:spacing w:after="120"/>
        <w:ind w:left="-634" w:right="-792"/>
        <w:jc w:val="both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At UW-Madison physics faculty teach half-time, one course per semester. Additionally, faculty who are members of WIPAC (Karle, </w:t>
      </w: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Vandenbroucke</w:t>
      </w:r>
      <w:proofErr w:type="spellEnd"/>
      <w:r w:rsidRPr="00C02FB1">
        <w:rPr>
          <w:rFonts w:ascii="Times New Roman" w:hAnsi="Times New Roman"/>
        </w:rPr>
        <w:t xml:space="preserve">) are relieved of teaching for one semester per year. Thus faculty are on research except for the time spent on teaching one course per year. </w:t>
      </w:r>
    </w:p>
    <w:p w:rsidR="001A60D8" w:rsidRPr="006B6F2F" w:rsidRDefault="001A60D8" w:rsidP="001A60D8">
      <w:pPr>
        <w:suppressAutoHyphens w:val="0"/>
        <w:spacing w:after="0"/>
        <w:ind w:left="-630"/>
        <w:rPr>
          <w:rFonts w:ascii="Times New Roman" w:hAnsi="Times New Roman"/>
          <w:b/>
          <w:bCs/>
          <w:sz w:val="8"/>
          <w:szCs w:val="8"/>
        </w:rPr>
      </w:pPr>
    </w:p>
    <w:p w:rsidR="001A60D8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Francis  </w:t>
      </w:r>
      <w:r w:rsidRPr="00C02FB1">
        <w:rPr>
          <w:rFonts w:ascii="Times New Roman" w:hAnsi="Times New Roman"/>
        </w:rPr>
        <w:tab/>
        <w:t>Principal Investigator</w:t>
      </w:r>
    </w:p>
    <w:p w:rsidR="001A60D8" w:rsidRPr="00C02FB1" w:rsidRDefault="00722421" w:rsidP="001A60D8">
      <w:pPr>
        <w:tabs>
          <w:tab w:val="left" w:pos="2520"/>
          <w:tab w:val="left" w:pos="558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Institutional Lead, </w:t>
      </w:r>
      <w:proofErr w:type="spellStart"/>
      <w:r>
        <w:rPr>
          <w:rFonts w:ascii="Times New Roman" w:hAnsi="Times New Roman"/>
        </w:rPr>
        <w:t>ExecCom</w:t>
      </w:r>
      <w:proofErr w:type="spellEnd"/>
      <w:r>
        <w:rPr>
          <w:rFonts w:ascii="Times New Roman" w:hAnsi="Times New Roman"/>
        </w:rPr>
        <w:t xml:space="preserve"> member, Point and diffuse astrophysical neutrinos, </w:t>
      </w:r>
      <w:proofErr w:type="spellStart"/>
      <w:r>
        <w:rPr>
          <w:rFonts w:ascii="Times New Roman" w:hAnsi="Times New Roman"/>
        </w:rPr>
        <w:t>DeepCore</w:t>
      </w:r>
      <w:proofErr w:type="spellEnd"/>
    </w:p>
    <w:p w:rsidR="001A60D8" w:rsidRPr="00B06DCC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B06DCC">
        <w:rPr>
          <w:rFonts w:ascii="Times New Roman" w:hAnsi="Times New Roman"/>
        </w:rPr>
        <w:t>Hanson, Kael</w:t>
      </w:r>
      <w:r w:rsidRPr="00B06DCC">
        <w:rPr>
          <w:rFonts w:ascii="Times New Roman" w:hAnsi="Times New Roman"/>
        </w:rPr>
        <w:tab/>
        <w:t xml:space="preserve">Director of </w:t>
      </w:r>
      <w:proofErr w:type="spellStart"/>
      <w:r w:rsidRPr="00B06DCC">
        <w:rPr>
          <w:rFonts w:ascii="Times New Roman" w:hAnsi="Times New Roman"/>
        </w:rPr>
        <w:t>IceCube</w:t>
      </w:r>
      <w:proofErr w:type="spellEnd"/>
      <w:r w:rsidRPr="00B06DCC">
        <w:rPr>
          <w:rFonts w:ascii="Times New Roman" w:hAnsi="Times New Roman"/>
        </w:rPr>
        <w:t xml:space="preserve"> Maintenance &amp; Operations </w:t>
      </w:r>
    </w:p>
    <w:p w:rsidR="001A60D8" w:rsidRPr="008A470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Vandenbroucke</w:t>
      </w:r>
      <w:proofErr w:type="spellEnd"/>
      <w:r>
        <w:rPr>
          <w:rFonts w:ascii="Times New Roman" w:hAnsi="Times New Roman"/>
          <w:color w:val="000000" w:themeColor="text1"/>
        </w:rPr>
        <w:t>, Justin</w:t>
      </w:r>
      <w:r>
        <w:rPr>
          <w:rFonts w:ascii="Times New Roman" w:hAnsi="Times New Roman"/>
          <w:color w:val="000000" w:themeColor="text1"/>
        </w:rPr>
        <w:tab/>
      </w:r>
      <w:r w:rsidRPr="008A4701">
        <w:rPr>
          <w:rFonts w:ascii="Times New Roman" w:hAnsi="Times New Roman"/>
          <w:color w:val="000000" w:themeColor="text1"/>
        </w:rPr>
        <w:t xml:space="preserve">Low energy physics, </w:t>
      </w:r>
      <w:proofErr w:type="spellStart"/>
      <w:r w:rsidRPr="008A4701">
        <w:rPr>
          <w:rFonts w:ascii="Times New Roman" w:hAnsi="Times New Roman"/>
          <w:color w:val="000000" w:themeColor="text1"/>
        </w:rPr>
        <w:t>IceCube</w:t>
      </w:r>
      <w:proofErr w:type="spellEnd"/>
      <w:r w:rsidRPr="008A4701">
        <w:rPr>
          <w:rFonts w:ascii="Times New Roman" w:hAnsi="Times New Roman"/>
          <w:color w:val="000000" w:themeColor="text1"/>
        </w:rPr>
        <w:t xml:space="preserve"> analysis</w:t>
      </w:r>
      <w:r>
        <w:rPr>
          <w:rFonts w:ascii="Times New Roman" w:hAnsi="Times New Roman"/>
          <w:color w:val="000000" w:themeColor="text1"/>
        </w:rPr>
        <w:t>, selected point source searches</w:t>
      </w:r>
    </w:p>
    <w:p w:rsidR="001A60D8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>, Stefan</w:t>
      </w:r>
      <w:r w:rsidRPr="00C02FB1">
        <w:rPr>
          <w:rFonts w:ascii="Times New Roman" w:hAnsi="Times New Roman"/>
        </w:rPr>
        <w:tab/>
        <w:t xml:space="preserve">Cosmic Rays with </w:t>
      </w:r>
      <w:proofErr w:type="spellStart"/>
      <w:r w:rsidRPr="00C02FB1">
        <w:rPr>
          <w:rFonts w:ascii="Times New Roman" w:hAnsi="Times New Roman"/>
        </w:rPr>
        <w:t>IceCube</w:t>
      </w:r>
      <w:proofErr w:type="spellEnd"/>
      <w:r w:rsidRPr="00C02FB1">
        <w:rPr>
          <w:rFonts w:ascii="Times New Roman" w:hAnsi="Times New Roman"/>
        </w:rPr>
        <w:t xml:space="preserve"> and </w:t>
      </w:r>
      <w:proofErr w:type="spellStart"/>
      <w:r w:rsidRPr="00C02FB1">
        <w:rPr>
          <w:rFonts w:ascii="Times New Roman" w:hAnsi="Times New Roman"/>
        </w:rPr>
        <w:t>IceTop</w:t>
      </w:r>
      <w:proofErr w:type="spellEnd"/>
      <w:r w:rsidRPr="00C02FB1">
        <w:rPr>
          <w:rFonts w:ascii="Times New Roman" w:hAnsi="Times New Roman"/>
        </w:rPr>
        <w:t>.</w:t>
      </w:r>
    </w:p>
    <w:p w:rsidR="001A60D8" w:rsidRPr="00C02FB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1A60D8" w:rsidRPr="00C02FB1" w:rsidRDefault="00722421" w:rsidP="001A60D8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1A60D8" w:rsidRPr="001D3C04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1D3C04">
        <w:rPr>
          <w:rFonts w:ascii="Times New Roman" w:hAnsi="Times New Roman"/>
        </w:rPr>
        <w:t>Ahlers</w:t>
      </w:r>
      <w:proofErr w:type="spellEnd"/>
      <w:r w:rsidRPr="001D3C04">
        <w:rPr>
          <w:rFonts w:ascii="Times New Roman" w:hAnsi="Times New Roman"/>
        </w:rPr>
        <w:t>, Marcus</w:t>
      </w:r>
      <w:r w:rsidRPr="001D3C04">
        <w:rPr>
          <w:rFonts w:ascii="Times New Roman" w:hAnsi="Times New Roman"/>
        </w:rPr>
        <w:tab/>
        <w:t xml:space="preserve">(John </w:t>
      </w:r>
      <w:proofErr w:type="spellStart"/>
      <w:r w:rsidRPr="001D3C04">
        <w:rPr>
          <w:rFonts w:ascii="Times New Roman" w:hAnsi="Times New Roman"/>
        </w:rPr>
        <w:t>Bahcall</w:t>
      </w:r>
      <w:proofErr w:type="spellEnd"/>
      <w:r w:rsidRPr="001D3C04">
        <w:rPr>
          <w:rFonts w:ascii="Times New Roman" w:hAnsi="Times New Roman"/>
        </w:rPr>
        <w:t xml:space="preserve"> Fellowship). </w:t>
      </w:r>
    </w:p>
    <w:p w:rsidR="001A60D8" w:rsidRPr="007B0A22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D42E34">
        <w:rPr>
          <w:rFonts w:ascii="Times New Roman" w:hAnsi="Times New Roman"/>
          <w:color w:val="0070C0"/>
        </w:rPr>
        <w:t>Analysis: GRB physics analysis, neutrino sources</w:t>
      </w:r>
    </w:p>
    <w:p w:rsidR="001A60D8" w:rsidRPr="00C02FB1" w:rsidRDefault="00722421" w:rsidP="001A60D8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Chirkin</w:t>
      </w:r>
      <w:proofErr w:type="spellEnd"/>
      <w:r w:rsidRPr="00C02FB1">
        <w:rPr>
          <w:rFonts w:ascii="Times New Roman" w:hAnsi="Times New Roman"/>
        </w:rPr>
        <w:t xml:space="preserve">, Dmitry  </w:t>
      </w:r>
      <w:r w:rsidRPr="00C02FB1">
        <w:rPr>
          <w:rFonts w:ascii="Times New Roman" w:hAnsi="Times New Roman"/>
        </w:rPr>
        <w:tab/>
        <w:t>Service: Direct photon tracking with graphics computers / ice properties calibration; event reconstruction software, Simulation Programs, event recon.</w:t>
      </w:r>
    </w:p>
    <w:p w:rsidR="001A60D8" w:rsidRPr="00D42E34" w:rsidRDefault="00722421" w:rsidP="001A60D8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energy reconstruction of high energy events, ice properties.</w:t>
      </w:r>
    </w:p>
    <w:p w:rsidR="001A60D8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Desiati</w:t>
      </w:r>
      <w:proofErr w:type="spellEnd"/>
      <w:r w:rsidRPr="00C02FB1">
        <w:rPr>
          <w:rFonts w:ascii="Times New Roman" w:hAnsi="Times New Roman"/>
        </w:rPr>
        <w:t xml:space="preserve">, Paolo </w:t>
      </w:r>
      <w:r w:rsidRPr="00C02FB1">
        <w:rPr>
          <w:rFonts w:ascii="Times New Roman" w:hAnsi="Times New Roman"/>
        </w:rPr>
        <w:tab/>
        <w:t xml:space="preserve">Service: Simulation Production Coordinator, Sim. Prod. Panel Chair </w:t>
      </w:r>
    </w:p>
    <w:p w:rsidR="0002622D" w:rsidRPr="00D42E34" w:rsidRDefault="0002622D" w:rsidP="0002622D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 xml:space="preserve">Analysis: </w:t>
      </w:r>
      <w:r w:rsidRPr="0002622D">
        <w:rPr>
          <w:rFonts w:ascii="Times New Roman" w:hAnsi="Times New Roman"/>
          <w:color w:val="0070C0"/>
        </w:rPr>
        <w:t>Atmospheric neutrinos, time dependence, charm</w:t>
      </w:r>
      <w:r>
        <w:rPr>
          <w:rFonts w:ascii="Times New Roman" w:hAnsi="Times New Roman"/>
          <w:color w:val="0070C0"/>
        </w:rPr>
        <w:t xml:space="preserve"> </w:t>
      </w:r>
    </w:p>
    <w:p w:rsidR="001A60D8" w:rsidRPr="00C02FB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DuVernois</w:t>
      </w:r>
      <w:proofErr w:type="spellEnd"/>
      <w:r w:rsidRPr="00C02FB1">
        <w:rPr>
          <w:rFonts w:ascii="Times New Roman" w:hAnsi="Times New Roman"/>
        </w:rPr>
        <w:t xml:space="preserve">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1A60D8" w:rsidRPr="00C02FB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Hoshina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Kotoyo</w:t>
      </w:r>
      <w:proofErr w:type="spellEnd"/>
      <w:r w:rsidRPr="00C02FB1">
        <w:rPr>
          <w:rFonts w:ascii="Times New Roman" w:hAnsi="Times New Roman"/>
        </w:rPr>
        <w:t xml:space="preserve">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:rsidR="001A60D8" w:rsidRPr="00C02FB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</w:t>
      </w:r>
      <w:proofErr w:type="spellStart"/>
      <w:r w:rsidRPr="00C02FB1">
        <w:rPr>
          <w:rFonts w:ascii="Times New Roman" w:hAnsi="Times New Roman"/>
        </w:rPr>
        <w:t>nugen</w:t>
      </w:r>
      <w:proofErr w:type="spellEnd"/>
      <w:r w:rsidRPr="00C02FB1">
        <w:rPr>
          <w:rFonts w:ascii="Times New Roman" w:hAnsi="Times New Roman"/>
        </w:rPr>
        <w:t xml:space="preserve"> maintenance </w:t>
      </w:r>
    </w:p>
    <w:p w:rsidR="001A60D8" w:rsidRPr="00D42E34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1A60D8" w:rsidRPr="005C13FA" w:rsidRDefault="00ED2BD5" w:rsidP="001A60D8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Kauer</w:t>
      </w:r>
      <w:proofErr w:type="spellEnd"/>
      <w:r>
        <w:rPr>
          <w:rFonts w:ascii="Times New Roman" w:hAnsi="Times New Roman"/>
        </w:rPr>
        <w:t xml:space="preserve">, Matthew </w:t>
      </w:r>
      <w:r w:rsidR="00722421" w:rsidRPr="005C13FA">
        <w:rPr>
          <w:rFonts w:ascii="Times New Roman" w:hAnsi="Times New Roman"/>
        </w:rPr>
        <w:tab/>
        <w:t xml:space="preserve">Service: Run Coordinator, TFT Board Member, </w:t>
      </w:r>
      <w:proofErr w:type="spellStart"/>
      <w:r w:rsidR="00722421" w:rsidRPr="005C13FA">
        <w:rPr>
          <w:rFonts w:ascii="Times New Roman" w:hAnsi="Times New Roman"/>
        </w:rPr>
        <w:t>IceCube</w:t>
      </w:r>
      <w:proofErr w:type="spellEnd"/>
      <w:r w:rsidR="00722421" w:rsidRPr="005C13FA">
        <w:rPr>
          <w:rFonts w:ascii="Times New Roman" w:hAnsi="Times New Roman"/>
        </w:rPr>
        <w:t xml:space="preserve"> Monitoring Lead, Cosmic Ray Surface Array Development </w:t>
      </w:r>
    </w:p>
    <w:p w:rsidR="001A60D8" w:rsidRPr="00C02FB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1A60D8" w:rsidRDefault="00722421" w:rsidP="001A60D8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E76B97">
        <w:rPr>
          <w:rFonts w:ascii="Times New Roman" w:hAnsi="Times New Roman"/>
        </w:rPr>
        <w:t>Tosi Delia</w:t>
      </w:r>
      <w:r w:rsidRPr="00E76B97">
        <w:rPr>
          <w:rFonts w:ascii="Times New Roman" w:hAnsi="Times New Roman"/>
        </w:rPr>
        <w:tab/>
        <w:t>Service: Absolute DOM sensitivity calibration</w:t>
      </w:r>
      <w:r>
        <w:rPr>
          <w:rFonts w:ascii="Times New Roman" w:hAnsi="Times New Roman"/>
        </w:rPr>
        <w:t>, Scintillation detectors (</w:t>
      </w:r>
      <w:proofErr w:type="spellStart"/>
      <w:r>
        <w:rPr>
          <w:rFonts w:ascii="Times New Roman" w:hAnsi="Times New Roman"/>
        </w:rPr>
        <w:t>IceTop</w:t>
      </w:r>
      <w:proofErr w:type="spellEnd"/>
      <w:r>
        <w:rPr>
          <w:rFonts w:ascii="Times New Roman" w:hAnsi="Times New Roman"/>
        </w:rPr>
        <w:t xml:space="preserve"> maintenance)</w:t>
      </w:r>
      <w:r w:rsidRPr="00E76B97">
        <w:rPr>
          <w:rFonts w:ascii="Times New Roman" w:hAnsi="Times New Roman"/>
        </w:rPr>
        <w:t xml:space="preserve"> </w:t>
      </w:r>
    </w:p>
    <w:p w:rsidR="001A60D8" w:rsidRPr="00E76B97" w:rsidRDefault="00722421" w:rsidP="001A60D8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  <w:color w:val="548DD4" w:themeColor="text2" w:themeTint="99"/>
        </w:rPr>
      </w:pPr>
      <w:r>
        <w:rPr>
          <w:rFonts w:ascii="Times New Roman" w:hAnsi="Times New Roman"/>
        </w:rPr>
        <w:tab/>
      </w:r>
      <w:r w:rsidRPr="00E76B97">
        <w:rPr>
          <w:rFonts w:ascii="Times New Roman" w:hAnsi="Times New Roman"/>
          <w:color w:val="548DD4" w:themeColor="text2" w:themeTint="99"/>
        </w:rPr>
        <w:t xml:space="preserve">Analysis: </w:t>
      </w:r>
      <w:proofErr w:type="spellStart"/>
      <w:r w:rsidRPr="00E76B97">
        <w:rPr>
          <w:rFonts w:ascii="Times New Roman" w:hAnsi="Times New Roman"/>
          <w:color w:val="548DD4" w:themeColor="text2" w:themeTint="99"/>
        </w:rPr>
        <w:t>IceTop</w:t>
      </w:r>
      <w:proofErr w:type="spellEnd"/>
      <w:r w:rsidRPr="00E76B97">
        <w:rPr>
          <w:rFonts w:ascii="Times New Roman" w:hAnsi="Times New Roman"/>
          <w:color w:val="548DD4" w:themeColor="text2" w:themeTint="99"/>
        </w:rPr>
        <w:t xml:space="preserve"> veto for astrophysical neutrino search</w:t>
      </w:r>
    </w:p>
    <w:p w:rsidR="001A60D8" w:rsidRDefault="001A60D8" w:rsidP="001A60D8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</w:p>
    <w:p w:rsidR="001A60D8" w:rsidRPr="00C02FB1" w:rsidRDefault="00722421" w:rsidP="001A60D8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>: Flasher output,</w:t>
      </w:r>
      <w:r w:rsidR="005B1FE4">
        <w:rPr>
          <w:rFonts w:ascii="Times New Roman" w:hAnsi="Times New Roman"/>
        </w:rPr>
        <w:t xml:space="preserve"> </w:t>
      </w:r>
      <w:r w:rsidRPr="00C02FB1">
        <w:rPr>
          <w:rFonts w:ascii="Times New Roman" w:hAnsi="Times New Roman"/>
        </w:rPr>
        <w:t xml:space="preserve">Flasher Calibrations; 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</w:p>
    <w:p w:rsidR="00ED2BD5" w:rsidRDefault="00ED2BD5" w:rsidP="00ED2BD5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</w:p>
    <w:p w:rsidR="001A60D8" w:rsidRPr="00C02FB1" w:rsidRDefault="00722421" w:rsidP="00ED2BD5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Post Docs</w:t>
      </w:r>
      <w:r w:rsidR="00ED2BD5">
        <w:rPr>
          <w:rFonts w:ascii="Times New Roman" w:hAnsi="Times New Roman"/>
          <w:b/>
          <w:bCs/>
        </w:rPr>
        <w:t xml:space="preserve"> </w:t>
      </w:r>
      <w:r w:rsidR="00ED2BD5" w:rsidRPr="00C02FB1">
        <w:rPr>
          <w:rFonts w:ascii="Times New Roman" w:hAnsi="Times New Roman"/>
        </w:rPr>
        <w:t>(supervisor)</w:t>
      </w:r>
      <w:r w:rsidR="00ED2BD5" w:rsidRPr="00C02FB1">
        <w:rPr>
          <w:rFonts w:ascii="Times New Roman" w:hAnsi="Times New Roman"/>
          <w:b/>
          <w:bCs/>
        </w:rPr>
        <w:t>:</w:t>
      </w:r>
      <w:r w:rsidRPr="00C02FB1">
        <w:rPr>
          <w:rFonts w:ascii="Times New Roman" w:hAnsi="Times New Roman"/>
          <w:b/>
          <w:bCs/>
        </w:rPr>
        <w:t xml:space="preserve"> </w:t>
      </w:r>
    </w:p>
    <w:p w:rsidR="00B60BAF" w:rsidRPr="005C13FA" w:rsidRDefault="00B60BAF" w:rsidP="00B60BA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5C13FA">
        <w:rPr>
          <w:rFonts w:ascii="Times New Roman" w:eastAsia="Times New Roman" w:hAnsi="Times New Roman"/>
          <w:lang w:eastAsia="en-US"/>
        </w:rPr>
        <w:t>Bechtol</w:t>
      </w:r>
      <w:proofErr w:type="spellEnd"/>
      <w:r w:rsidRPr="005C13FA">
        <w:rPr>
          <w:rFonts w:ascii="Times New Roman" w:eastAsia="Times New Roman" w:hAnsi="Times New Roman"/>
          <w:lang w:eastAsia="en-US"/>
        </w:rPr>
        <w:t xml:space="preserve">, Keith </w:t>
      </w:r>
      <w:r w:rsidR="00FF4CFE">
        <w:rPr>
          <w:rFonts w:ascii="Times New Roman" w:hAnsi="Times New Roman"/>
        </w:rPr>
        <w:t>(JV)</w:t>
      </w:r>
      <w:r w:rsidRPr="005C13FA">
        <w:rPr>
          <w:rFonts w:ascii="Times New Roman" w:eastAsia="Times New Roman" w:hAnsi="Times New Roman"/>
          <w:lang w:eastAsia="en-US"/>
        </w:rPr>
        <w:tab/>
      </w:r>
      <w:r w:rsidRPr="005C13FA">
        <w:rPr>
          <w:rFonts w:ascii="Times New Roman" w:hAnsi="Times New Roman"/>
        </w:rPr>
        <w:t xml:space="preserve">Service: TBD </w:t>
      </w:r>
    </w:p>
    <w:p w:rsidR="00B60BAF" w:rsidRPr="002436A7" w:rsidRDefault="00B60BAF" w:rsidP="00B60BA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FF0000"/>
          <w:lang w:eastAsia="en-US"/>
        </w:rPr>
      </w:pPr>
      <w:r>
        <w:rPr>
          <w:rFonts w:ascii="Times New Roman" w:hAnsi="Times New Roman"/>
          <w:color w:val="0070C0"/>
        </w:rPr>
        <w:tab/>
      </w:r>
      <w:r w:rsidRPr="00D04E30">
        <w:rPr>
          <w:rFonts w:ascii="Times New Roman" w:hAnsi="Times New Roman"/>
          <w:color w:val="0070C0"/>
        </w:rPr>
        <w:t>Analysis:</w:t>
      </w:r>
      <w:r>
        <w:rPr>
          <w:rFonts w:ascii="Times New Roman" w:hAnsi="Times New Roman"/>
          <w:color w:val="0070C0"/>
        </w:rPr>
        <w:t xml:space="preserve"> </w:t>
      </w:r>
      <w:r w:rsidR="0002622D" w:rsidRPr="0002622D">
        <w:rPr>
          <w:rFonts w:ascii="Times New Roman" w:hAnsi="Times New Roman"/>
          <w:color w:val="0070C0"/>
        </w:rPr>
        <w:t>Correlations between neutrino flux and gamma ray observations</w:t>
      </w:r>
    </w:p>
    <w:p w:rsidR="001A60D8" w:rsidRPr="00C02FB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Day, Melanie</w:t>
      </w:r>
      <w:r>
        <w:rPr>
          <w:rFonts w:ascii="Times New Roman" w:hAnsi="Times New Roman"/>
        </w:rPr>
        <w:t xml:space="preserve"> (AK)</w:t>
      </w:r>
      <w:r w:rsidRPr="00C02FB1">
        <w:rPr>
          <w:rFonts w:ascii="Times New Roman" w:hAnsi="Times New Roman"/>
        </w:rPr>
        <w:tab/>
        <w:t>Service: Low energy simulation production</w:t>
      </w:r>
    </w:p>
    <w:p w:rsidR="001A60D8" w:rsidRPr="00244FBE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Analysis: </w:t>
      </w:r>
      <w:r w:rsidR="00070823" w:rsidRPr="00070823">
        <w:rPr>
          <w:rFonts w:ascii="Times New Roman" w:hAnsi="Times New Roman"/>
          <w:color w:val="0070C0"/>
        </w:rPr>
        <w:t>Neutrino oscillations with Deep Core, Non Standard Interactions</w:t>
      </w:r>
    </w:p>
    <w:p w:rsidR="00B60BAF" w:rsidRPr="005C13FA" w:rsidRDefault="00B60BAF" w:rsidP="00B60BA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5C13FA">
        <w:rPr>
          <w:rFonts w:ascii="Times New Roman" w:hAnsi="Times New Roman"/>
        </w:rPr>
        <w:t>Fiorino</w:t>
      </w:r>
      <w:proofErr w:type="spellEnd"/>
      <w:r w:rsidRPr="005C13FA">
        <w:rPr>
          <w:rFonts w:ascii="Times New Roman" w:hAnsi="Times New Roman"/>
        </w:rPr>
        <w:t xml:space="preserve">, Daniel (SW) </w:t>
      </w:r>
      <w:r w:rsidRPr="005C13FA">
        <w:rPr>
          <w:rFonts w:ascii="Times New Roman" w:hAnsi="Times New Roman"/>
        </w:rPr>
        <w:tab/>
        <w:t xml:space="preserve">Service: TBD </w:t>
      </w:r>
    </w:p>
    <w:p w:rsidR="00B60BAF" w:rsidRPr="004B67B0" w:rsidRDefault="00B60BAF" w:rsidP="00B60BA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Analysis:</w:t>
      </w:r>
      <w:r>
        <w:rPr>
          <w:rFonts w:ascii="Times New Roman" w:hAnsi="Times New Roman"/>
          <w:color w:val="FF0000"/>
        </w:rPr>
        <w:t xml:space="preserve"> </w:t>
      </w:r>
      <w:proofErr w:type="spellStart"/>
      <w:r w:rsidRPr="004B67B0">
        <w:rPr>
          <w:rFonts w:ascii="Times New Roman" w:hAnsi="Times New Roman"/>
          <w:color w:val="0070C0"/>
        </w:rPr>
        <w:t>IceCube</w:t>
      </w:r>
      <w:proofErr w:type="spellEnd"/>
      <w:r w:rsidRPr="004B67B0">
        <w:rPr>
          <w:rFonts w:ascii="Times New Roman" w:hAnsi="Times New Roman"/>
          <w:color w:val="0070C0"/>
        </w:rPr>
        <w:t>/HAWC anisotropy</w:t>
      </w:r>
    </w:p>
    <w:p w:rsidR="001A60D8" w:rsidRPr="00EC4AB0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proofErr w:type="spellStart"/>
      <w:r w:rsidRPr="00B06DCC">
        <w:rPr>
          <w:rFonts w:ascii="Times New Roman" w:eastAsia="Times New Roman" w:hAnsi="Times New Roman"/>
          <w:lang w:eastAsia="en-US"/>
        </w:rPr>
        <w:t>Wandkowsky</w:t>
      </w:r>
      <w:proofErr w:type="spellEnd"/>
      <w:r w:rsidRPr="00B06DCC">
        <w:rPr>
          <w:rFonts w:ascii="Times New Roman" w:eastAsia="Times New Roman" w:hAnsi="Times New Roman"/>
          <w:lang w:eastAsia="en-US"/>
        </w:rPr>
        <w:t>, Nancy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Analysis disk Data storage review, filter development</w:t>
      </w:r>
    </w:p>
    <w:p w:rsidR="001A60D8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All flavor all sky contained vertex neutrino analysis at high energies</w:t>
      </w:r>
    </w:p>
    <w:p w:rsidR="001A60D8" w:rsidRPr="008636E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proofErr w:type="spellStart"/>
      <w:r>
        <w:rPr>
          <w:rFonts w:ascii="Times New Roman" w:eastAsia="Times New Roman" w:hAnsi="Times New Roman"/>
          <w:lang w:eastAsia="en-US"/>
        </w:rPr>
        <w:t>Donglian</w:t>
      </w:r>
      <w:proofErr w:type="spellEnd"/>
      <w:r>
        <w:rPr>
          <w:rFonts w:ascii="Times New Roman" w:eastAsia="Times New Roman" w:hAnsi="Times New Roman"/>
          <w:lang w:eastAsia="en-US"/>
        </w:rPr>
        <w:t xml:space="preserve"> Xu</w:t>
      </w:r>
      <w:r w:rsidRPr="00B06DCC">
        <w:rPr>
          <w:rFonts w:ascii="Times New Roman" w:eastAsia="Times New Roman" w:hAnsi="Times New Roman"/>
          <w:lang w:eastAsia="en-US"/>
        </w:rPr>
        <w:t xml:space="preserve"> (AK)</w:t>
      </w:r>
      <w:r w:rsidRPr="00EC4AB0">
        <w:rPr>
          <w:rFonts w:ascii="Times New Roman" w:eastAsia="Times New Roman" w:hAnsi="Times New Roman"/>
          <w:color w:val="FF0000"/>
          <w:lang w:eastAsia="en-US"/>
        </w:rPr>
        <w:t xml:space="preserve">  </w:t>
      </w:r>
      <w:r>
        <w:rPr>
          <w:rFonts w:ascii="Times New Roman" w:eastAsia="Times New Roman" w:hAnsi="Times New Roman"/>
          <w:color w:val="FF0000"/>
          <w:lang w:eastAsia="en-US"/>
        </w:rPr>
        <w:tab/>
      </w:r>
      <w:r w:rsidRPr="00EC4AB0">
        <w:rPr>
          <w:rFonts w:ascii="Times New Roman" w:eastAsia="Times New Roman" w:hAnsi="Times New Roman"/>
          <w:lang w:eastAsia="en-US"/>
        </w:rPr>
        <w:t>Service:</w:t>
      </w:r>
      <w:r>
        <w:rPr>
          <w:rFonts w:ascii="Times New Roman" w:eastAsia="Times New Roman" w:hAnsi="Times New Roman"/>
          <w:lang w:eastAsia="en-US"/>
        </w:rPr>
        <w:t xml:space="preserve"> Calibration, waveforms</w:t>
      </w:r>
      <w:r w:rsidR="008636E1">
        <w:rPr>
          <w:rFonts w:ascii="Times New Roman" w:eastAsia="Times New Roman" w:hAnsi="Times New Roman"/>
          <w:lang w:eastAsia="en-US"/>
        </w:rPr>
        <w:t>, cascade systematics</w:t>
      </w:r>
    </w:p>
    <w:p w:rsidR="001A60D8" w:rsidRDefault="00722421" w:rsidP="008636E1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 w:rsidRPr="00EC4AB0">
        <w:rPr>
          <w:rFonts w:ascii="Times New Roman" w:eastAsia="Times New Roman" w:hAnsi="Times New Roman"/>
          <w:lang w:eastAsia="en-US"/>
        </w:rPr>
        <w:lastRenderedPageBreak/>
        <w:tab/>
      </w:r>
      <w:r w:rsidRPr="00EC4AB0">
        <w:rPr>
          <w:rFonts w:ascii="Times New Roman" w:eastAsia="Times New Roman" w:hAnsi="Times New Roman"/>
          <w:color w:val="0070C0"/>
          <w:lang w:eastAsia="en-US"/>
        </w:rPr>
        <w:t>Analysis:</w:t>
      </w:r>
      <w:r>
        <w:rPr>
          <w:rFonts w:ascii="Times New Roman" w:eastAsia="Times New Roman" w:hAnsi="Times New Roman"/>
          <w:color w:val="0070C0"/>
          <w:lang w:eastAsia="en-US"/>
        </w:rPr>
        <w:t xml:space="preserve"> </w:t>
      </w:r>
      <w:r w:rsidR="008636E1" w:rsidRPr="008636E1">
        <w:rPr>
          <w:rFonts w:ascii="Times New Roman" w:eastAsia="Times New Roman" w:hAnsi="Times New Roman"/>
          <w:color w:val="0070C0"/>
          <w:lang w:eastAsia="en-US"/>
        </w:rPr>
        <w:t>Search for neutrino flux in coincidence with fast radio transients</w:t>
      </w:r>
      <w:r w:rsidR="008636E1">
        <w:rPr>
          <w:rFonts w:ascii="Times New Roman" w:eastAsia="Times New Roman" w:hAnsi="Times New Roman"/>
          <w:color w:val="0070C0"/>
          <w:lang w:eastAsia="en-US"/>
        </w:rPr>
        <w:t>. Investigation of non-</w:t>
      </w:r>
      <w:r w:rsidR="008636E1" w:rsidRPr="008636E1">
        <w:rPr>
          <w:rFonts w:ascii="Times New Roman" w:eastAsia="Times New Roman" w:hAnsi="Times New Roman"/>
          <w:color w:val="0070C0"/>
          <w:lang w:eastAsia="en-US"/>
        </w:rPr>
        <w:t xml:space="preserve">contained high energy cascade events in </w:t>
      </w:r>
      <w:proofErr w:type="spellStart"/>
      <w:r w:rsidR="008636E1" w:rsidRPr="008636E1">
        <w:rPr>
          <w:rFonts w:ascii="Times New Roman" w:eastAsia="Times New Roman" w:hAnsi="Times New Roman"/>
          <w:color w:val="0070C0"/>
          <w:lang w:eastAsia="en-US"/>
        </w:rPr>
        <w:t>IceCube</w:t>
      </w:r>
      <w:proofErr w:type="spellEnd"/>
    </w:p>
    <w:p w:rsidR="001A60D8" w:rsidRDefault="001A60D8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</w:p>
    <w:p w:rsidR="001A60D8" w:rsidRPr="00C02FB1" w:rsidRDefault="00722421" w:rsidP="00ED2BD5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1A60D8" w:rsidRDefault="00722421" w:rsidP="00ED2BD5">
      <w:pPr>
        <w:tabs>
          <w:tab w:val="left" w:pos="2520"/>
        </w:tabs>
        <w:spacing w:before="60" w:after="60" w:line="276" w:lineRule="auto"/>
        <w:ind w:left="2520" w:right="-1195" w:hanging="276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Fahey, Sam (JV) </w:t>
      </w:r>
      <w:r>
        <w:rPr>
          <w:rFonts w:ascii="Times New Roman" w:hAnsi="Times New Roman"/>
        </w:rPr>
        <w:tab/>
      </w:r>
      <w:r w:rsidRPr="00F931D8">
        <w:rPr>
          <w:rFonts w:ascii="Times New Roman" w:hAnsi="Times New Roman"/>
          <w:color w:val="000000" w:themeColor="text1"/>
        </w:rPr>
        <w:t>Service:</w:t>
      </w:r>
      <w:r>
        <w:rPr>
          <w:rFonts w:ascii="Times New Roman" w:hAnsi="Times New Roman"/>
          <w:color w:val="000000" w:themeColor="text1"/>
        </w:rPr>
        <w:t xml:space="preserve"> </w:t>
      </w:r>
      <w:r w:rsidRPr="00D57330">
        <w:rPr>
          <w:rFonts w:ascii="Times New Roman" w:hAnsi="Times New Roman"/>
        </w:rPr>
        <w:t>Trigger simulations</w:t>
      </w:r>
      <w:r>
        <w:rPr>
          <w:rFonts w:ascii="Times New Roman" w:hAnsi="Times New Roman"/>
        </w:rPr>
        <w:t xml:space="preserve"> </w:t>
      </w:r>
    </w:p>
    <w:p w:rsidR="001A60D8" w:rsidRPr="002B12A0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149E4">
        <w:rPr>
          <w:rFonts w:ascii="Times New Roman" w:hAnsi="Times New Roman"/>
          <w:color w:val="0070C0"/>
        </w:rPr>
        <w:t xml:space="preserve">Analysis: </w:t>
      </w:r>
      <w:r w:rsidR="00AE7CDF">
        <w:rPr>
          <w:rFonts w:ascii="Times New Roman" w:hAnsi="Times New Roman"/>
          <w:color w:val="0070C0"/>
        </w:rPr>
        <w:t>A</w:t>
      </w:r>
      <w:r w:rsidR="00AE7CDF" w:rsidRPr="00AE7CDF">
        <w:rPr>
          <w:rFonts w:ascii="Times New Roman" w:hAnsi="Times New Roman"/>
          <w:color w:val="0070C0"/>
        </w:rPr>
        <w:t>nalysis of transients</w:t>
      </w:r>
      <w:r w:rsidR="00AE7CDF">
        <w:rPr>
          <w:rFonts w:ascii="Times New Roman" w:hAnsi="Times New Roman"/>
          <w:color w:val="0070C0"/>
        </w:rPr>
        <w:t xml:space="preserve"> </w:t>
      </w:r>
    </w:p>
    <w:p w:rsidR="001A60D8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>
        <w:rPr>
          <w:rFonts w:ascii="Times New Roman" w:hAnsi="Times New Roman"/>
        </w:rPr>
        <w:t>Ghorbani</w:t>
      </w:r>
      <w:proofErr w:type="spellEnd"/>
      <w:r>
        <w:rPr>
          <w:rFonts w:ascii="Times New Roman" w:hAnsi="Times New Roman"/>
        </w:rPr>
        <w:t>, Kevin</w:t>
      </w:r>
      <w:r w:rsidRPr="001D3C04">
        <w:rPr>
          <w:rFonts w:ascii="Times New Roman" w:hAnsi="Times New Roman"/>
        </w:rPr>
        <w:t xml:space="preserve"> (FH) </w:t>
      </w:r>
      <w:r w:rsidRPr="001D3C04">
        <w:rPr>
          <w:rFonts w:ascii="Times New Roman" w:hAnsi="Times New Roman"/>
        </w:rPr>
        <w:tab/>
        <w:t xml:space="preserve">Service: </w:t>
      </w:r>
      <w:r w:rsidRPr="000F2B68">
        <w:rPr>
          <w:rFonts w:ascii="Times New Roman" w:hAnsi="Times New Roman"/>
        </w:rPr>
        <w:t>Muon time residuals/hole ice</w:t>
      </w:r>
    </w:p>
    <w:p w:rsidR="001A60D8" w:rsidRPr="00E0464D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BE021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Sterile neutrino search</w:t>
      </w:r>
    </w:p>
    <w:p w:rsidR="001A60D8" w:rsidRPr="00BE021B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Pr="00BE021B">
        <w:rPr>
          <w:rFonts w:ascii="Times New Roman" w:hAnsi="Times New Roman"/>
          <w:color w:val="0070C0"/>
        </w:rPr>
        <w:t xml:space="preserve">Thesis /Analysis topics: search for gamma-ray sources in </w:t>
      </w:r>
      <w:proofErr w:type="spellStart"/>
      <w:r w:rsidRPr="00BE021B">
        <w:rPr>
          <w:rFonts w:ascii="Times New Roman" w:hAnsi="Times New Roman"/>
          <w:color w:val="0070C0"/>
        </w:rPr>
        <w:t>IceTop</w:t>
      </w:r>
      <w:proofErr w:type="spellEnd"/>
      <w:r w:rsidRPr="00BE021B">
        <w:rPr>
          <w:rFonts w:ascii="Times New Roman" w:hAnsi="Times New Roman"/>
          <w:color w:val="0070C0"/>
        </w:rPr>
        <w:t xml:space="preserve"> with </w:t>
      </w:r>
      <w:proofErr w:type="spellStart"/>
      <w:r w:rsidRPr="00BE021B">
        <w:rPr>
          <w:rFonts w:ascii="Times New Roman" w:hAnsi="Times New Roman"/>
          <w:color w:val="0070C0"/>
        </w:rPr>
        <w:t>IceCube</w:t>
      </w:r>
      <w:proofErr w:type="spellEnd"/>
      <w:r w:rsidRPr="00BE021B">
        <w:rPr>
          <w:rFonts w:ascii="Times New Roman" w:hAnsi="Times New Roman"/>
          <w:color w:val="0070C0"/>
        </w:rPr>
        <w:t xml:space="preserve"> muon veto</w:t>
      </w:r>
    </w:p>
    <w:p w:rsidR="001A60D8" w:rsidRPr="00216C8D" w:rsidRDefault="004C0AA0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>
        <w:rPr>
          <w:rFonts w:ascii="Times New Roman" w:hAnsi="Times New Roman"/>
        </w:rPr>
        <w:tab/>
        <w:t>Service: TBD</w:t>
      </w:r>
      <w:r w:rsidR="0044367E">
        <w:rPr>
          <w:rFonts w:ascii="Times New Roman" w:hAnsi="Times New Roman"/>
        </w:rPr>
        <w:t xml:space="preserve"> </w:t>
      </w:r>
    </w:p>
    <w:p w:rsidR="001A60D8" w:rsidRPr="001D3C04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1D3C04">
        <w:rPr>
          <w:rFonts w:ascii="Times New Roman" w:hAnsi="Times New Roman"/>
        </w:rPr>
        <w:t>Jero</w:t>
      </w:r>
      <w:proofErr w:type="spellEnd"/>
      <w:r w:rsidRPr="001D3C04">
        <w:rPr>
          <w:rFonts w:ascii="Times New Roman" w:hAnsi="Times New Roman"/>
        </w:rPr>
        <w:t xml:space="preserve">, Kyle (AK)                    Service: DOM linearity, sensitivity; </w:t>
      </w:r>
      <w:r>
        <w:rPr>
          <w:rFonts w:ascii="Times New Roman" w:hAnsi="Times New Roman"/>
        </w:rPr>
        <w:t xml:space="preserve">muon </w:t>
      </w:r>
      <w:r w:rsidRPr="001D3C04">
        <w:rPr>
          <w:rFonts w:ascii="Times New Roman" w:hAnsi="Times New Roman"/>
        </w:rPr>
        <w:t xml:space="preserve">event reconstruction </w:t>
      </w:r>
    </w:p>
    <w:p w:rsidR="001A60D8" w:rsidRPr="002B12A0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point sources, atmospheric neutrino veto</w:t>
      </w:r>
    </w:p>
    <w:p w:rsidR="001A60D8" w:rsidRPr="00C02FB1" w:rsidRDefault="00722421" w:rsidP="001A60D8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Kheirandish</w:t>
      </w:r>
      <w:proofErr w:type="spellEnd"/>
      <w:r w:rsidRPr="00C02FB1">
        <w:rPr>
          <w:rFonts w:ascii="Times New Roman" w:hAnsi="Times New Roman"/>
        </w:rPr>
        <w:t>, Ali (FH)</w:t>
      </w:r>
      <w:r w:rsidRPr="00C02FB1">
        <w:rPr>
          <w:rFonts w:ascii="Times New Roman" w:hAnsi="Times New Roman"/>
        </w:rPr>
        <w:tab/>
        <w:t>Service: Supernova system rate studies</w:t>
      </w:r>
    </w:p>
    <w:p w:rsidR="001A60D8" w:rsidRPr="002B12A0" w:rsidRDefault="00722421" w:rsidP="001A60D8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>
        <w:rPr>
          <w:rFonts w:ascii="Times New Roman" w:hAnsi="Times New Roman"/>
          <w:color w:val="0070C0"/>
        </w:rPr>
        <w:t>, Point sources</w:t>
      </w:r>
    </w:p>
    <w:p w:rsidR="001A60D8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>
        <w:rPr>
          <w:rFonts w:ascii="Times New Roman" w:eastAsia="Times New Roman" w:hAnsi="Times New Roman"/>
          <w:lang w:eastAsia="en-US"/>
        </w:rPr>
        <w:t>Mancina</w:t>
      </w:r>
      <w:proofErr w:type="spellEnd"/>
      <w:r>
        <w:rPr>
          <w:rFonts w:ascii="Times New Roman" w:eastAsia="Times New Roman" w:hAnsi="Times New Roman"/>
          <w:lang w:eastAsia="en-US"/>
        </w:rPr>
        <w:t>, Sarah</w:t>
      </w:r>
      <w:r w:rsidRPr="00C02FB1">
        <w:rPr>
          <w:rFonts w:ascii="Times New Roman" w:eastAsia="Times New Roman" w:hAnsi="Times New Roman"/>
          <w:lang w:eastAsia="en-US"/>
        </w:rPr>
        <w:t xml:space="preserve"> (AK)</w:t>
      </w:r>
      <w:r w:rsidRPr="00C02FB1">
        <w:rPr>
          <w:rFonts w:ascii="Times New Roman" w:eastAsia="Times New Roman" w:hAnsi="Times New Roman"/>
          <w:lang w:eastAsia="en-US"/>
        </w:rPr>
        <w:tab/>
      </w:r>
      <w:r>
        <w:rPr>
          <w:rFonts w:ascii="Times New Roman" w:eastAsia="Times New Roman" w:hAnsi="Times New Roman"/>
          <w:lang w:eastAsia="en-US"/>
        </w:rPr>
        <w:t xml:space="preserve">Service: Calibration studies (DOM </w:t>
      </w:r>
      <w:proofErr w:type="spellStart"/>
      <w:r>
        <w:rPr>
          <w:rFonts w:ascii="Times New Roman" w:eastAsia="Times New Roman" w:hAnsi="Times New Roman"/>
          <w:lang w:eastAsia="en-US"/>
        </w:rPr>
        <w:t>sensititvity</w:t>
      </w:r>
      <w:proofErr w:type="spellEnd"/>
      <w:r>
        <w:rPr>
          <w:rFonts w:ascii="Times New Roman" w:eastAsia="Times New Roman" w:hAnsi="Times New Roman"/>
          <w:lang w:eastAsia="en-US"/>
        </w:rPr>
        <w:t>) with muon neutrinos</w:t>
      </w:r>
    </w:p>
    <w:p w:rsidR="001A60D8" w:rsidRPr="002B12A0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>
        <w:rPr>
          <w:rFonts w:ascii="Times New Roman" w:hAnsi="Times New Roman"/>
          <w:color w:val="0070C0"/>
        </w:rPr>
        <w:tab/>
      </w:r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Analysis: </w:t>
      </w:r>
      <w:r>
        <w:rPr>
          <w:rFonts w:ascii="Times New Roman" w:eastAsia="Times New Roman" w:hAnsi="Times New Roman"/>
          <w:color w:val="0070C0"/>
          <w:lang w:eastAsia="en-US"/>
        </w:rPr>
        <w:t>muon neutrinos</w:t>
      </w:r>
    </w:p>
    <w:p w:rsidR="001A60D8" w:rsidRPr="008A4701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8A4701">
        <w:rPr>
          <w:rFonts w:ascii="Times New Roman" w:hAnsi="Times New Roman"/>
          <w:color w:val="000000" w:themeColor="text1"/>
        </w:rPr>
        <w:t>Sabbatini</w:t>
      </w:r>
      <w:proofErr w:type="spellEnd"/>
      <w:r w:rsidRPr="008A4701">
        <w:rPr>
          <w:rFonts w:ascii="Times New Roman" w:hAnsi="Times New Roman"/>
          <w:color w:val="000000" w:themeColor="text1"/>
        </w:rPr>
        <w:t>, Luca (FH)</w:t>
      </w:r>
      <w:r w:rsidRPr="008A4701">
        <w:rPr>
          <w:rFonts w:ascii="Times New Roman" w:hAnsi="Times New Roman"/>
          <w:color w:val="000000" w:themeColor="text1"/>
        </w:rPr>
        <w:tab/>
        <w:t>Service: shower reconstruction, flasher data</w:t>
      </w:r>
    </w:p>
    <w:p w:rsidR="001A60D8" w:rsidRPr="00E56AF2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70C0"/>
        </w:rPr>
        <w:t>Analysis</w:t>
      </w:r>
      <w:r w:rsidRPr="00BE021B">
        <w:rPr>
          <w:rFonts w:ascii="Times New Roman" w:hAnsi="Times New Roman"/>
          <w:color w:val="0070C0"/>
        </w:rPr>
        <w:t xml:space="preserve">: </w:t>
      </w:r>
      <w:r>
        <w:rPr>
          <w:rFonts w:ascii="Times New Roman" w:hAnsi="Times New Roman"/>
          <w:color w:val="0070C0"/>
        </w:rPr>
        <w:t>GRB search</w:t>
      </w:r>
      <w:r w:rsidRPr="003B3751">
        <w:rPr>
          <w:rFonts w:ascii="Times New Roman" w:hAnsi="Times New Roman"/>
          <w:color w:val="548DD4" w:themeColor="text2" w:themeTint="99"/>
        </w:rPr>
        <w:t>, model independent</w:t>
      </w:r>
    </w:p>
    <w:p w:rsidR="001A60D8" w:rsidRPr="001D3C04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1D3C04">
        <w:rPr>
          <w:rFonts w:ascii="Times New Roman" w:hAnsi="Times New Roman"/>
        </w:rPr>
        <w:t xml:space="preserve">Tobin, Moriah (AK) </w:t>
      </w:r>
      <w:r w:rsidRPr="001D3C04">
        <w:rPr>
          <w:rFonts w:ascii="Times New Roman" w:hAnsi="Times New Roman"/>
        </w:rPr>
        <w:tab/>
        <w:t>Service: low energy event reconstruction (</w:t>
      </w:r>
      <w:proofErr w:type="spellStart"/>
      <w:r w:rsidRPr="001D3C04">
        <w:rPr>
          <w:rFonts w:ascii="Times New Roman" w:hAnsi="Times New Roman"/>
        </w:rPr>
        <w:t>BiPed</w:t>
      </w:r>
      <w:proofErr w:type="spellEnd"/>
      <w:r w:rsidRPr="001D3C04">
        <w:rPr>
          <w:rFonts w:ascii="Times New Roman" w:hAnsi="Times New Roman"/>
        </w:rPr>
        <w:t>)</w:t>
      </w:r>
      <w:r>
        <w:rPr>
          <w:rFonts w:ascii="Times New Roman" w:hAnsi="Times New Roman"/>
        </w:rPr>
        <w:t>, spline service</w:t>
      </w:r>
    </w:p>
    <w:p w:rsidR="001A60D8" w:rsidRPr="00732E1F" w:rsidRDefault="00722421" w:rsidP="001A60D8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Pr="00732E1F">
        <w:rPr>
          <w:rFonts w:ascii="Times New Roman" w:hAnsi="Times New Roman"/>
          <w:color w:val="0070C0"/>
        </w:rPr>
        <w:t xml:space="preserve">Analysis: Atmospheric neutrino studies using </w:t>
      </w:r>
      <w:proofErr w:type="spellStart"/>
      <w:r w:rsidRPr="00732E1F">
        <w:rPr>
          <w:rFonts w:ascii="Times New Roman" w:hAnsi="Times New Roman"/>
          <w:color w:val="0070C0"/>
        </w:rPr>
        <w:t>IceCube's</w:t>
      </w:r>
      <w:proofErr w:type="spellEnd"/>
      <w:r w:rsidRPr="00732E1F">
        <w:rPr>
          <w:rFonts w:ascii="Times New Roman" w:hAnsi="Times New Roman"/>
          <w:color w:val="0070C0"/>
        </w:rPr>
        <w:t xml:space="preserve"> </w:t>
      </w:r>
      <w:proofErr w:type="spellStart"/>
      <w:r w:rsidRPr="00732E1F">
        <w:rPr>
          <w:rFonts w:ascii="Times New Roman" w:hAnsi="Times New Roman"/>
          <w:color w:val="0070C0"/>
        </w:rPr>
        <w:t>DeepCore</w:t>
      </w:r>
      <w:proofErr w:type="spellEnd"/>
      <w:r w:rsidRPr="00732E1F">
        <w:rPr>
          <w:rFonts w:ascii="Times New Roman" w:hAnsi="Times New Roman"/>
          <w:color w:val="0070C0"/>
        </w:rPr>
        <w:t>.</w:t>
      </w:r>
    </w:p>
    <w:p w:rsidR="001A60D8" w:rsidRPr="00910720" w:rsidRDefault="00722421" w:rsidP="0091072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>
        <w:rPr>
          <w:rFonts w:ascii="Times New Roman" w:hAnsi="Times New Roman"/>
        </w:rPr>
        <w:t>Wille</w:t>
      </w:r>
      <w:proofErr w:type="spellEnd"/>
      <w:r>
        <w:rPr>
          <w:rFonts w:ascii="Times New Roman" w:hAnsi="Times New Roman"/>
        </w:rPr>
        <w:t>, Logan (FH</w:t>
      </w:r>
      <w:r w:rsidRPr="001D3C04">
        <w:rPr>
          <w:rFonts w:ascii="Times New Roman" w:hAnsi="Times New Roman"/>
        </w:rPr>
        <w:t>)</w:t>
      </w:r>
      <w:r w:rsidRPr="001D3C04">
        <w:rPr>
          <w:rFonts w:ascii="Times New Roman" w:hAnsi="Times New Roman"/>
        </w:rPr>
        <w:tab/>
      </w:r>
      <w:r w:rsidRPr="00E700DE">
        <w:rPr>
          <w:rFonts w:ascii="Times New Roman" w:hAnsi="Times New Roman"/>
          <w:color w:val="0070C0"/>
        </w:rPr>
        <w:t>Analysis: Charm contribution to the atmospheric neutrino flux</w:t>
      </w:r>
      <w:r w:rsidR="00910720">
        <w:rPr>
          <w:rFonts w:ascii="Times New Roman" w:hAnsi="Times New Roman"/>
          <w:color w:val="0070C0"/>
        </w:rPr>
        <w:t xml:space="preserve"> </w:t>
      </w:r>
    </w:p>
    <w:sectPr w:rsidR="001A60D8" w:rsidRPr="00910720" w:rsidSect="001A60D8">
      <w:headerReference w:type="default" r:id="rId7"/>
      <w:footerReference w:type="default" r:id="rId8"/>
      <w:footnotePr>
        <w:pos w:val="beneathText"/>
      </w:footnotePr>
      <w:pgSz w:w="13600" w:h="1760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177" w:rsidRDefault="008C0177">
      <w:r>
        <w:separator/>
      </w:r>
    </w:p>
  </w:endnote>
  <w:endnote w:type="continuationSeparator" w:id="0">
    <w:p w:rsidR="008C0177" w:rsidRDefault="008C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7A4" w:rsidRPr="00F27F84" w:rsidRDefault="00E257A4" w:rsidP="001A60D8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4D64A6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4D64A6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</w:p>
  <w:p w:rsidR="00E257A4" w:rsidRPr="00F27F84" w:rsidRDefault="00E257A4" w:rsidP="001A60D8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 w:rsidR="008636E1">
      <w:rPr>
        <w:rFonts w:ascii="Times New Roman" w:hAnsi="Times New Roman"/>
        <w:noProof/>
      </w:rPr>
      <w:t>UW-Madison_MoU_SOW_2015.1026.docx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177" w:rsidRDefault="008C0177">
      <w:r>
        <w:separator/>
      </w:r>
    </w:p>
  </w:footnote>
  <w:footnote w:type="continuationSeparator" w:id="0">
    <w:p w:rsidR="008C0177" w:rsidRDefault="008C0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7A4" w:rsidRPr="000B277F" w:rsidRDefault="00E257A4" w:rsidP="000675D9">
    <w:pPr>
      <w:pStyle w:val="Header"/>
      <w:tabs>
        <w:tab w:val="clear" w:pos="8640"/>
        <w:tab w:val="left" w:pos="870"/>
        <w:tab w:val="right" w:pos="1008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  <w:t xml:space="preserve">Last updated: </w:t>
    </w:r>
    <w:r w:rsidR="008636E1">
      <w:rPr>
        <w:rFonts w:ascii="Times New Roman" w:hAnsi="Times New Roman"/>
      </w:rPr>
      <w:t xml:space="preserve">October </w:t>
    </w:r>
    <w:r w:rsidR="003B0F2C">
      <w:rPr>
        <w:rFonts w:ascii="Times New Roman" w:hAnsi="Times New Roman"/>
      </w:rPr>
      <w:t>2</w:t>
    </w:r>
    <w:r w:rsidR="008636E1">
      <w:rPr>
        <w:rFonts w:ascii="Times New Roman" w:hAnsi="Times New Roman"/>
      </w:rPr>
      <w:t>6</w:t>
    </w:r>
    <w:r>
      <w:rPr>
        <w:rFonts w:ascii="Times New Roman" w:hAnsi="Times New Roman"/>
      </w:rPr>
      <w:t>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2622D"/>
    <w:rsid w:val="000675D9"/>
    <w:rsid w:val="00070823"/>
    <w:rsid w:val="001A60D8"/>
    <w:rsid w:val="001D5869"/>
    <w:rsid w:val="001E7738"/>
    <w:rsid w:val="00241243"/>
    <w:rsid w:val="0026727F"/>
    <w:rsid w:val="00331CFA"/>
    <w:rsid w:val="003762EE"/>
    <w:rsid w:val="00385963"/>
    <w:rsid w:val="003B0F2C"/>
    <w:rsid w:val="0040699F"/>
    <w:rsid w:val="0044367E"/>
    <w:rsid w:val="0048427A"/>
    <w:rsid w:val="004C0AA0"/>
    <w:rsid w:val="004D64A6"/>
    <w:rsid w:val="005261A5"/>
    <w:rsid w:val="005B1FE4"/>
    <w:rsid w:val="005C03A5"/>
    <w:rsid w:val="00663450"/>
    <w:rsid w:val="0067375B"/>
    <w:rsid w:val="006E309D"/>
    <w:rsid w:val="00722421"/>
    <w:rsid w:val="007F5773"/>
    <w:rsid w:val="008636E1"/>
    <w:rsid w:val="008A096F"/>
    <w:rsid w:val="008C0177"/>
    <w:rsid w:val="00910720"/>
    <w:rsid w:val="00943084"/>
    <w:rsid w:val="00973C69"/>
    <w:rsid w:val="009D12D7"/>
    <w:rsid w:val="00A25CB0"/>
    <w:rsid w:val="00A74723"/>
    <w:rsid w:val="00A76A62"/>
    <w:rsid w:val="00AE7CDF"/>
    <w:rsid w:val="00B37C5F"/>
    <w:rsid w:val="00B45515"/>
    <w:rsid w:val="00B53473"/>
    <w:rsid w:val="00B60BAF"/>
    <w:rsid w:val="00BD5D16"/>
    <w:rsid w:val="00C231E2"/>
    <w:rsid w:val="00C827C0"/>
    <w:rsid w:val="00C8679C"/>
    <w:rsid w:val="00D2242F"/>
    <w:rsid w:val="00DF47D6"/>
    <w:rsid w:val="00E257A4"/>
    <w:rsid w:val="00E27920"/>
    <w:rsid w:val="00E324E5"/>
    <w:rsid w:val="00E959A4"/>
    <w:rsid w:val="00ED2BD5"/>
    <w:rsid w:val="00EE0018"/>
    <w:rsid w:val="00FE4A89"/>
    <w:rsid w:val="00FF4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66BDF3-F3EC-477D-8E6B-9CD2D6EB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424BF"/>
    <w:rPr>
      <w:rFonts w:ascii="Courier New" w:eastAsia="MS Mincho" w:hAnsi="Courier New" w:cs="Courier New"/>
      <w:sz w:val="20"/>
      <w:szCs w:val="20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22</cp:revision>
  <cp:lastPrinted>2015-03-31T20:01:00Z</cp:lastPrinted>
  <dcterms:created xsi:type="dcterms:W3CDTF">2015-10-14T19:46:00Z</dcterms:created>
  <dcterms:modified xsi:type="dcterms:W3CDTF">2015-10-27T15:05:00Z</dcterms:modified>
</cp:coreProperties>
</file>